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tblpX="-431" w:tblpY="1"/>
        <w:tblOverlap w:val="never"/>
        <w:tblW w:w="14309" w:type="dxa"/>
        <w:tblLook w:val="04A0" w:firstRow="1" w:lastRow="0" w:firstColumn="1" w:lastColumn="0" w:noHBand="0" w:noVBand="1"/>
      </w:tblPr>
      <w:tblGrid>
        <w:gridCol w:w="834"/>
        <w:gridCol w:w="1566"/>
        <w:gridCol w:w="2557"/>
        <w:gridCol w:w="4677"/>
        <w:gridCol w:w="4675"/>
      </w:tblGrid>
      <w:tr w:rsidR="00633E3F" w:rsidRPr="00633E3F" w14:paraId="606905A3" w14:textId="77777777" w:rsidTr="001D2343">
        <w:trPr>
          <w:trHeight w:val="550"/>
          <w:tblHeader/>
        </w:trPr>
        <w:tc>
          <w:tcPr>
            <w:tcW w:w="14309" w:type="dxa"/>
            <w:gridSpan w:val="5"/>
            <w:shd w:val="clear" w:color="auto" w:fill="D5DCE4" w:themeFill="text2" w:themeFillTint="33"/>
          </w:tcPr>
          <w:p w14:paraId="6DE260E7" w14:textId="0F8435A8" w:rsidR="006A4BCD" w:rsidRDefault="006A4BCD" w:rsidP="006450D3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2CF4F0F0" w14:textId="551B154C" w:rsidR="0004003F" w:rsidRDefault="006A4BCD" w:rsidP="00B93E16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>
              <w:rPr>
                <w:rFonts w:cs="Times New Roman"/>
                <w:b/>
                <w:bCs/>
                <w:sz w:val="20"/>
                <w:szCs w:val="20"/>
              </w:rPr>
              <w:t>T</w:t>
            </w:r>
            <w:r w:rsidR="0004003F" w:rsidRPr="006450D3">
              <w:rPr>
                <w:rFonts w:cs="Times New Roman"/>
                <w:b/>
                <w:bCs/>
                <w:sz w:val="20"/>
                <w:szCs w:val="20"/>
              </w:rPr>
              <w:t xml:space="preserve">abela uwag zgłoszonych do projektu </w:t>
            </w:r>
            <w:r w:rsidR="00303C4F" w:rsidRPr="006450D3">
              <w:rPr>
                <w:rFonts w:cs="Times New Roman"/>
                <w:b/>
                <w:bCs/>
                <w:sz w:val="20"/>
                <w:szCs w:val="20"/>
              </w:rPr>
              <w:t>r</w:t>
            </w:r>
            <w:r w:rsidR="0004003F" w:rsidRPr="006450D3">
              <w:rPr>
                <w:rFonts w:cs="Times New Roman"/>
                <w:b/>
                <w:bCs/>
                <w:sz w:val="20"/>
                <w:szCs w:val="20"/>
              </w:rPr>
              <w:t xml:space="preserve">ozporządzenia Ministra Sprawiedliwości </w:t>
            </w:r>
            <w:r w:rsidR="00482379" w:rsidRPr="006450D3">
              <w:rPr>
                <w:rFonts w:cs="Times New Roman"/>
                <w:b/>
                <w:bCs/>
                <w:sz w:val="20"/>
                <w:szCs w:val="20"/>
              </w:rPr>
              <w:t>w sprawi</w:t>
            </w:r>
            <w:r w:rsidR="00B93E16">
              <w:rPr>
                <w:rFonts w:cs="Times New Roman"/>
                <w:b/>
                <w:bCs/>
                <w:sz w:val="20"/>
                <w:szCs w:val="20"/>
              </w:rPr>
              <w:t xml:space="preserve">e warunków technicznych korzystania oraz funkcjonowania portalu informacyjnego, trybu zakładania, udostępniania i likwidacji konta w portalu informacyjnym </w:t>
            </w:r>
            <w:r w:rsidR="00477B6E" w:rsidRPr="006450D3">
              <w:rPr>
                <w:rFonts w:cs="Times New Roman"/>
                <w:b/>
                <w:bCs/>
                <w:sz w:val="20"/>
                <w:szCs w:val="20"/>
              </w:rPr>
              <w:t>(</w:t>
            </w:r>
            <w:r w:rsidR="00482379" w:rsidRPr="006450D3">
              <w:rPr>
                <w:rFonts w:cs="Times New Roman"/>
                <w:b/>
                <w:bCs/>
                <w:sz w:val="20"/>
                <w:szCs w:val="20"/>
              </w:rPr>
              <w:t>A51</w:t>
            </w:r>
            <w:r w:rsidR="00B93E16">
              <w:rPr>
                <w:rFonts w:cs="Times New Roman"/>
                <w:b/>
                <w:bCs/>
                <w:sz w:val="20"/>
                <w:szCs w:val="20"/>
              </w:rPr>
              <w:t>7</w:t>
            </w:r>
            <w:r w:rsidR="00482379" w:rsidRPr="006450D3">
              <w:rPr>
                <w:rFonts w:cs="Times New Roman"/>
                <w:b/>
                <w:bCs/>
                <w:sz w:val="20"/>
                <w:szCs w:val="20"/>
              </w:rPr>
              <w:t>)</w:t>
            </w:r>
            <w:r w:rsidR="00303C4F" w:rsidRPr="006450D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55737F" w:rsidRPr="006450D3">
              <w:rPr>
                <w:rFonts w:cs="Times New Roman"/>
                <w:b/>
                <w:bCs/>
                <w:sz w:val="20"/>
                <w:szCs w:val="20"/>
              </w:rPr>
              <w:t xml:space="preserve">zgłoszonych w ramach </w:t>
            </w:r>
            <w:r w:rsidR="0055737F" w:rsidRPr="00D45E4B">
              <w:rPr>
                <w:rFonts w:cs="Times New Roman"/>
                <w:b/>
                <w:bCs/>
                <w:sz w:val="20"/>
                <w:szCs w:val="20"/>
                <w:u w:val="single"/>
              </w:rPr>
              <w:t>konsultacji publicznych</w:t>
            </w:r>
            <w:r w:rsidR="0055737F" w:rsidRPr="006450D3"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="0004003F" w:rsidRPr="006450D3">
              <w:rPr>
                <w:rFonts w:cs="Times New Roman"/>
                <w:b/>
                <w:bCs/>
                <w:sz w:val="20"/>
                <w:szCs w:val="20"/>
              </w:rPr>
              <w:t>wraz ze stanowiskiem resortu.</w:t>
            </w:r>
          </w:p>
          <w:p w14:paraId="35678BC0" w14:textId="7F7A8638" w:rsidR="006A4BCD" w:rsidRPr="006450D3" w:rsidRDefault="006A4BCD" w:rsidP="006450D3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633E3F" w:rsidRPr="00633E3F" w14:paraId="0D68A99B" w14:textId="77777777" w:rsidTr="007F33FA">
        <w:trPr>
          <w:trHeight w:val="704"/>
          <w:tblHeader/>
        </w:trPr>
        <w:tc>
          <w:tcPr>
            <w:tcW w:w="834" w:type="dxa"/>
            <w:shd w:val="clear" w:color="auto" w:fill="D5DCE4" w:themeFill="text2" w:themeFillTint="33"/>
          </w:tcPr>
          <w:p w14:paraId="4260EDFD" w14:textId="77777777" w:rsidR="006A4BCD" w:rsidRDefault="006A4BCD" w:rsidP="006450D3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380A2398" w14:textId="416E5FE0" w:rsidR="007F33FA" w:rsidRPr="006450D3" w:rsidRDefault="007F33FA" w:rsidP="006450D3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450D3">
              <w:rPr>
                <w:rFonts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566" w:type="dxa"/>
            <w:shd w:val="clear" w:color="auto" w:fill="D5DCE4" w:themeFill="text2" w:themeFillTint="33"/>
          </w:tcPr>
          <w:p w14:paraId="61A04B49" w14:textId="77777777" w:rsidR="007F33FA" w:rsidRDefault="007F33FA" w:rsidP="006450D3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450D3">
              <w:rPr>
                <w:rFonts w:cs="Times New Roman"/>
                <w:b/>
                <w:bCs/>
                <w:sz w:val="20"/>
                <w:szCs w:val="20"/>
              </w:rPr>
              <w:t>Jednostka redakcyjna, do której zgłaszana jest uwaga</w:t>
            </w:r>
          </w:p>
          <w:p w14:paraId="78044ED7" w14:textId="77777777" w:rsidR="006450D3" w:rsidRPr="006450D3" w:rsidRDefault="006450D3" w:rsidP="006450D3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  <w:shd w:val="clear" w:color="auto" w:fill="D5DCE4" w:themeFill="text2" w:themeFillTint="33"/>
          </w:tcPr>
          <w:p w14:paraId="6D561B48" w14:textId="77777777" w:rsidR="006A4BCD" w:rsidRDefault="006A4BCD" w:rsidP="00633E3F">
            <w:pPr>
              <w:pStyle w:val="Bezodstpw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89CE32D" w14:textId="5E0B29F9" w:rsidR="007F33FA" w:rsidRPr="006450D3" w:rsidRDefault="007F33FA" w:rsidP="00633E3F">
            <w:pPr>
              <w:pStyle w:val="Bezodstpw"/>
              <w:jc w:val="both"/>
              <w:rPr>
                <w:rFonts w:cs="Times New Roman"/>
                <w:b/>
                <w:bCs/>
                <w:sz w:val="20"/>
                <w:szCs w:val="20"/>
              </w:rPr>
            </w:pPr>
            <w:r w:rsidRPr="006450D3">
              <w:rPr>
                <w:rFonts w:cs="Times New Roman"/>
                <w:b/>
                <w:bCs/>
                <w:sz w:val="20"/>
                <w:szCs w:val="20"/>
              </w:rPr>
              <w:t>Podmiot zgłaszający uwagę</w:t>
            </w:r>
          </w:p>
        </w:tc>
        <w:tc>
          <w:tcPr>
            <w:tcW w:w="4677" w:type="dxa"/>
            <w:shd w:val="clear" w:color="auto" w:fill="D5DCE4" w:themeFill="text2" w:themeFillTint="33"/>
          </w:tcPr>
          <w:p w14:paraId="0967DA35" w14:textId="77777777" w:rsidR="006A4BCD" w:rsidRPr="00AA2EE4" w:rsidRDefault="006A4BCD" w:rsidP="006450D3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45C402D3" w14:textId="1B619397" w:rsidR="007F33FA" w:rsidRPr="00AA2EE4" w:rsidRDefault="007F33FA" w:rsidP="006450D3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AA2EE4">
              <w:rPr>
                <w:rFonts w:cs="Times New Roman"/>
                <w:b/>
                <w:bCs/>
                <w:sz w:val="20"/>
                <w:szCs w:val="20"/>
              </w:rPr>
              <w:t>Treść uwagi</w:t>
            </w:r>
          </w:p>
        </w:tc>
        <w:tc>
          <w:tcPr>
            <w:tcW w:w="4675" w:type="dxa"/>
            <w:shd w:val="clear" w:color="auto" w:fill="D5DCE4" w:themeFill="text2" w:themeFillTint="33"/>
          </w:tcPr>
          <w:p w14:paraId="3451CE91" w14:textId="77777777" w:rsidR="006A4BCD" w:rsidRDefault="006A4BCD" w:rsidP="006450D3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  <w:p w14:paraId="0BAD2B74" w14:textId="702AC844" w:rsidR="007F33FA" w:rsidRPr="006450D3" w:rsidRDefault="007F33FA" w:rsidP="006450D3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450D3">
              <w:rPr>
                <w:rFonts w:cs="Times New Roman"/>
                <w:b/>
                <w:bCs/>
                <w:sz w:val="20"/>
                <w:szCs w:val="20"/>
              </w:rPr>
              <w:t>Stanowisko resortu</w:t>
            </w:r>
          </w:p>
        </w:tc>
      </w:tr>
      <w:tr w:rsidR="00D21971" w:rsidRPr="00633E3F" w14:paraId="719A469B" w14:textId="77777777" w:rsidTr="007F33FA">
        <w:trPr>
          <w:trHeight w:val="1098"/>
        </w:trPr>
        <w:tc>
          <w:tcPr>
            <w:tcW w:w="834" w:type="dxa"/>
          </w:tcPr>
          <w:p w14:paraId="03B1DA26" w14:textId="0BF2EAA1" w:rsidR="00D21971" w:rsidRPr="00633E3F" w:rsidRDefault="002340FB" w:rsidP="006A4BC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1566" w:type="dxa"/>
          </w:tcPr>
          <w:p w14:paraId="590A9A5A" w14:textId="1CB48E66" w:rsidR="00D21971" w:rsidRPr="00633E3F" w:rsidRDefault="00D21971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33E3F">
              <w:rPr>
                <w:rFonts w:cs="Times New Roman"/>
                <w:b/>
                <w:bCs/>
                <w:sz w:val="20"/>
                <w:szCs w:val="20"/>
              </w:rPr>
              <w:t xml:space="preserve">§ 2 </w:t>
            </w:r>
            <w:r w:rsidR="002340FB">
              <w:rPr>
                <w:rFonts w:cs="Times New Roman"/>
                <w:b/>
                <w:bCs/>
                <w:sz w:val="20"/>
                <w:szCs w:val="20"/>
              </w:rPr>
              <w:t xml:space="preserve">ust. 1 </w:t>
            </w:r>
            <w:r w:rsidR="00AA2EE4">
              <w:rPr>
                <w:rFonts w:cs="Times New Roman"/>
                <w:b/>
                <w:bCs/>
                <w:sz w:val="20"/>
                <w:szCs w:val="20"/>
              </w:rPr>
              <w:t xml:space="preserve">pkt 3) </w:t>
            </w:r>
            <w:r w:rsidR="00E75E3C">
              <w:rPr>
                <w:rFonts w:cs="Times New Roman"/>
                <w:b/>
                <w:bCs/>
                <w:sz w:val="20"/>
                <w:szCs w:val="20"/>
              </w:rPr>
              <w:t>p</w:t>
            </w:r>
            <w:r w:rsidRPr="00633E3F">
              <w:rPr>
                <w:rFonts w:cs="Times New Roman"/>
                <w:b/>
                <w:bCs/>
                <w:sz w:val="20"/>
                <w:szCs w:val="20"/>
              </w:rPr>
              <w:t>rojektu</w:t>
            </w:r>
          </w:p>
        </w:tc>
        <w:tc>
          <w:tcPr>
            <w:tcW w:w="2557" w:type="dxa"/>
          </w:tcPr>
          <w:p w14:paraId="06D05188" w14:textId="0AC8CE1B" w:rsidR="00D21971" w:rsidRPr="00633E3F" w:rsidRDefault="00D21971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33E3F">
              <w:rPr>
                <w:rFonts w:cs="Times New Roman"/>
                <w:b/>
                <w:bCs/>
                <w:sz w:val="20"/>
                <w:szCs w:val="20"/>
              </w:rPr>
              <w:t>Konfederacja Lewiata</w:t>
            </w:r>
            <w:r w:rsidR="00B02E5E">
              <w:rPr>
                <w:rFonts w:cs="Times New Roman"/>
                <w:b/>
                <w:bCs/>
                <w:sz w:val="20"/>
                <w:szCs w:val="20"/>
              </w:rPr>
              <w:t>n</w:t>
            </w:r>
          </w:p>
        </w:tc>
        <w:tc>
          <w:tcPr>
            <w:tcW w:w="4677" w:type="dxa"/>
          </w:tcPr>
          <w:p w14:paraId="036D2E9F" w14:textId="39C57C75" w:rsidR="00D21971" w:rsidRPr="00AA2EE4" w:rsidRDefault="00E75E3C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AA2EE4">
              <w:rPr>
                <w:rFonts w:cs="Times New Roman"/>
                <w:sz w:val="20"/>
                <w:szCs w:val="20"/>
              </w:rPr>
              <w:t>L</w:t>
            </w:r>
            <w:r w:rsidR="00D21971" w:rsidRPr="00AA2EE4">
              <w:rPr>
                <w:rFonts w:cs="Times New Roman"/>
                <w:sz w:val="20"/>
                <w:szCs w:val="20"/>
              </w:rPr>
              <w:t>iteralne brzmienie def</w:t>
            </w:r>
            <w:r w:rsidRPr="00AA2EE4">
              <w:rPr>
                <w:rFonts w:cs="Times New Roman"/>
                <w:sz w:val="20"/>
                <w:szCs w:val="20"/>
              </w:rPr>
              <w:t xml:space="preserve">. </w:t>
            </w:r>
            <w:r w:rsidR="00D21971" w:rsidRPr="00AA2EE4">
              <w:rPr>
                <w:rFonts w:cs="Times New Roman"/>
                <w:sz w:val="20"/>
                <w:szCs w:val="20"/>
              </w:rPr>
              <w:t xml:space="preserve">„użytkownika konta” nie uwzględnia, iż użytkownikami kont są osoby fizyczne nie wykonujące zawodu adwokata, radcy prawnego, rzecznika patentowanego (strony/uczestnicy postępowań sądowych) oraz mediatorzy i komornicy sądowi. </w:t>
            </w:r>
          </w:p>
          <w:p w14:paraId="0EA233E0" w14:textId="6858C2C0" w:rsidR="00D21971" w:rsidRPr="00AA2EE4" w:rsidRDefault="00D21971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AA2EE4">
              <w:rPr>
                <w:rFonts w:cs="Times New Roman"/>
                <w:sz w:val="20"/>
                <w:szCs w:val="20"/>
              </w:rPr>
              <w:t xml:space="preserve">Pozostawienie niektórych rodzajów kont poza zakresem </w:t>
            </w:r>
            <w:r w:rsidR="00E75E3C" w:rsidRPr="00AA2EE4">
              <w:rPr>
                <w:rFonts w:cs="Times New Roman"/>
                <w:sz w:val="20"/>
                <w:szCs w:val="20"/>
              </w:rPr>
              <w:t xml:space="preserve">proj. </w:t>
            </w:r>
            <w:r w:rsidRPr="00AA2EE4">
              <w:rPr>
                <w:rFonts w:cs="Times New Roman"/>
                <w:sz w:val="20"/>
                <w:szCs w:val="20"/>
              </w:rPr>
              <w:t xml:space="preserve">rozporządzenia spowodowałoby dychotomię regulacji oraz mogłoby prowadzić do wzajemnej sprzeczności proponowanych rozwiązań. </w:t>
            </w:r>
          </w:p>
          <w:p w14:paraId="03BE398A" w14:textId="77777777" w:rsidR="00633E3F" w:rsidRDefault="00D21971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AA2EE4">
              <w:rPr>
                <w:rFonts w:cs="Times New Roman"/>
                <w:sz w:val="20"/>
                <w:szCs w:val="20"/>
              </w:rPr>
              <w:t xml:space="preserve">Dodatkowo regulacja nie uwzględnia, iż aktualnie prowadzone w </w:t>
            </w:r>
            <w:r w:rsidR="00E75E3C" w:rsidRPr="00AA2EE4">
              <w:rPr>
                <w:rFonts w:cs="Times New Roman"/>
                <w:sz w:val="20"/>
                <w:szCs w:val="20"/>
              </w:rPr>
              <w:t xml:space="preserve">PI </w:t>
            </w:r>
            <w:r w:rsidRPr="00AA2EE4">
              <w:rPr>
                <w:rFonts w:cs="Times New Roman"/>
                <w:sz w:val="20"/>
                <w:szCs w:val="20"/>
              </w:rPr>
              <w:t>konta (komornika, mediatora, peł</w:t>
            </w:r>
            <w:r w:rsidR="00E75E3C" w:rsidRPr="00AA2EE4">
              <w:rPr>
                <w:rFonts w:cs="Times New Roman"/>
                <w:sz w:val="20"/>
                <w:szCs w:val="20"/>
              </w:rPr>
              <w:t xml:space="preserve">. </w:t>
            </w:r>
            <w:r w:rsidRPr="00AA2EE4">
              <w:rPr>
                <w:rFonts w:cs="Times New Roman"/>
                <w:sz w:val="20"/>
                <w:szCs w:val="20"/>
              </w:rPr>
              <w:t>zawodowego, podmiotu publicznego, użytkownika zwykłego oraz konta zależne) różną się pod względem funkcjonalności oraz uprawnień poszczególnych użytkowników.</w:t>
            </w:r>
          </w:p>
          <w:p w14:paraId="00D471ED" w14:textId="3B9B54B6" w:rsidR="002340FB" w:rsidRPr="00AA2EE4" w:rsidRDefault="002340FB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5" w:type="dxa"/>
          </w:tcPr>
          <w:p w14:paraId="0423299B" w14:textId="50335CB6" w:rsidR="00D45E4B" w:rsidRPr="00BE5B99" w:rsidRDefault="00D45E4B" w:rsidP="00D45E4B">
            <w:pPr>
              <w:autoSpaceDE w:val="0"/>
              <w:autoSpaceDN w:val="0"/>
              <w:adjustRightInd w:val="0"/>
              <w:jc w:val="both"/>
              <w:rPr>
                <w:rFonts w:cs="Times New Roman"/>
                <w:bCs/>
                <w:sz w:val="20"/>
                <w:szCs w:val="20"/>
              </w:rPr>
            </w:pPr>
            <w:r w:rsidRPr="006C12AD">
              <w:rPr>
                <w:rFonts w:cs="Times New Roman"/>
                <w:b/>
                <w:bCs/>
                <w:sz w:val="20"/>
                <w:szCs w:val="20"/>
              </w:rPr>
              <w:t xml:space="preserve">Uwaga uwzględniona </w:t>
            </w:r>
            <w:r w:rsidRPr="006C12AD">
              <w:rPr>
                <w:rFonts w:cs="Times New Roman"/>
                <w:bCs/>
                <w:sz w:val="20"/>
                <w:szCs w:val="20"/>
              </w:rPr>
              <w:t xml:space="preserve">– </w:t>
            </w:r>
            <w:r>
              <w:rPr>
                <w:rFonts w:cs="Times New Roman"/>
                <w:bCs/>
                <w:sz w:val="20"/>
                <w:szCs w:val="20"/>
              </w:rPr>
              <w:t>przeredagowano definicję „użytko</w:t>
            </w:r>
            <w:r w:rsidRPr="00BE5B99">
              <w:rPr>
                <w:rFonts w:cs="Times New Roman"/>
                <w:bCs/>
                <w:sz w:val="20"/>
                <w:szCs w:val="20"/>
              </w:rPr>
              <w:t>wnika</w:t>
            </w:r>
            <w:r>
              <w:rPr>
                <w:rFonts w:cs="Times New Roman"/>
                <w:bCs/>
                <w:sz w:val="20"/>
                <w:szCs w:val="20"/>
              </w:rPr>
              <w:t xml:space="preserve"> konta”</w:t>
            </w:r>
            <w:r w:rsidRPr="00BE5B99">
              <w:rPr>
                <w:rFonts w:cs="Times New Roman"/>
                <w:bCs/>
                <w:sz w:val="20"/>
                <w:szCs w:val="20"/>
              </w:rPr>
              <w:t xml:space="preserve">; obecnie znajduje się ona w § 2 pkt </w:t>
            </w:r>
            <w:r>
              <w:rPr>
                <w:rFonts w:cs="Times New Roman"/>
                <w:bCs/>
                <w:sz w:val="20"/>
                <w:szCs w:val="20"/>
              </w:rPr>
              <w:t>1</w:t>
            </w:r>
            <w:r w:rsidR="00D43037">
              <w:rPr>
                <w:rFonts w:cs="Times New Roman"/>
                <w:bCs/>
                <w:sz w:val="20"/>
                <w:szCs w:val="20"/>
              </w:rPr>
              <w:t>4)</w:t>
            </w:r>
            <w:r w:rsidRPr="00BE5B99">
              <w:rPr>
                <w:rFonts w:cs="Times New Roman"/>
                <w:bCs/>
                <w:sz w:val="20"/>
                <w:szCs w:val="20"/>
              </w:rPr>
              <w:t xml:space="preserve"> projektu</w:t>
            </w:r>
            <w:r>
              <w:rPr>
                <w:rFonts w:cs="Times New Roman"/>
                <w:bCs/>
                <w:sz w:val="20"/>
                <w:szCs w:val="20"/>
              </w:rPr>
              <w:t>.</w:t>
            </w:r>
          </w:p>
          <w:p w14:paraId="71234851" w14:textId="014661D0" w:rsidR="00D21971" w:rsidRPr="00633E3F" w:rsidRDefault="00D21971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AA2EE4" w:rsidRPr="00633E3F" w14:paraId="60BD9F68" w14:textId="77777777" w:rsidTr="007F33FA">
        <w:trPr>
          <w:trHeight w:val="1098"/>
        </w:trPr>
        <w:tc>
          <w:tcPr>
            <w:tcW w:w="834" w:type="dxa"/>
          </w:tcPr>
          <w:p w14:paraId="137D79F7" w14:textId="011FC6D5" w:rsidR="00AA2EE4" w:rsidRPr="007E1789" w:rsidRDefault="002340FB" w:rsidP="006A4BC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 w:rsidRPr="007E1789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1566" w:type="dxa"/>
          </w:tcPr>
          <w:p w14:paraId="4FBCBC8A" w14:textId="75112417" w:rsidR="00AA2EE4" w:rsidRPr="007E1789" w:rsidRDefault="002340FB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E1789">
              <w:rPr>
                <w:rFonts w:cs="Times New Roman"/>
                <w:b/>
                <w:bCs/>
                <w:sz w:val="20"/>
                <w:szCs w:val="20"/>
              </w:rPr>
              <w:t xml:space="preserve">§ 2 </w:t>
            </w:r>
            <w:r w:rsidR="00C07737" w:rsidRPr="007E1789">
              <w:rPr>
                <w:rFonts w:cs="Times New Roman"/>
                <w:b/>
                <w:bCs/>
                <w:sz w:val="20"/>
                <w:szCs w:val="20"/>
              </w:rPr>
              <w:t xml:space="preserve">ust. 1 </w:t>
            </w:r>
            <w:r w:rsidRPr="007E1789">
              <w:rPr>
                <w:rFonts w:cs="Times New Roman"/>
                <w:b/>
                <w:bCs/>
                <w:sz w:val="20"/>
                <w:szCs w:val="20"/>
              </w:rPr>
              <w:t>pkt 6) i 7) projektu</w:t>
            </w:r>
          </w:p>
        </w:tc>
        <w:tc>
          <w:tcPr>
            <w:tcW w:w="2557" w:type="dxa"/>
          </w:tcPr>
          <w:p w14:paraId="1699E2BC" w14:textId="70BCFDCB" w:rsidR="00AA2EE4" w:rsidRPr="007E1789" w:rsidRDefault="00AA2EE4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7E1789">
              <w:rPr>
                <w:rFonts w:cs="Times New Roman"/>
                <w:b/>
                <w:bCs/>
                <w:sz w:val="20"/>
                <w:szCs w:val="20"/>
              </w:rPr>
              <w:t>Konfederacja Lewiatan</w:t>
            </w:r>
          </w:p>
        </w:tc>
        <w:tc>
          <w:tcPr>
            <w:tcW w:w="4677" w:type="dxa"/>
          </w:tcPr>
          <w:p w14:paraId="2B4C152D" w14:textId="1920D082" w:rsidR="00AA2EE4" w:rsidRPr="007E1789" w:rsidRDefault="00CD0674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7E1789">
              <w:rPr>
                <w:rFonts w:cs="Times New Roman"/>
                <w:b/>
                <w:bCs/>
                <w:sz w:val="20"/>
                <w:szCs w:val="20"/>
              </w:rPr>
              <w:t>Ad. 1.</w:t>
            </w:r>
            <w:r w:rsidRPr="007E1789">
              <w:rPr>
                <w:rFonts w:cs="Times New Roman"/>
                <w:sz w:val="20"/>
                <w:szCs w:val="20"/>
              </w:rPr>
              <w:t xml:space="preserve"> </w:t>
            </w:r>
            <w:r w:rsidR="00AA2EE4" w:rsidRPr="007E1789">
              <w:rPr>
                <w:rFonts w:cs="Times New Roman"/>
                <w:sz w:val="20"/>
                <w:szCs w:val="20"/>
              </w:rPr>
              <w:t>W pkt 6) proj. ni</w:t>
            </w:r>
            <w:r w:rsidR="00D77FAE">
              <w:rPr>
                <w:rFonts w:cs="Times New Roman"/>
                <w:sz w:val="20"/>
                <w:szCs w:val="20"/>
              </w:rPr>
              <w:t>e</w:t>
            </w:r>
            <w:r w:rsidR="00AA2EE4" w:rsidRPr="007E1789">
              <w:rPr>
                <w:rFonts w:cs="Times New Roman"/>
                <w:sz w:val="20"/>
                <w:szCs w:val="20"/>
              </w:rPr>
              <w:t xml:space="preserve"> precyzuje dla których kont wprowadzona zostanie możliwość ustanowienia </w:t>
            </w:r>
            <w:r w:rsidR="00AA2EE4" w:rsidRPr="007E1789">
              <w:rPr>
                <w:rFonts w:cs="Times New Roman"/>
                <w:i/>
                <w:iCs/>
                <w:sz w:val="20"/>
                <w:szCs w:val="20"/>
              </w:rPr>
              <w:t>„administratora konta</w:t>
            </w:r>
            <w:r w:rsidR="00AA2EE4" w:rsidRPr="007E1789">
              <w:rPr>
                <w:rFonts w:cs="Times New Roman"/>
                <w:sz w:val="20"/>
                <w:szCs w:val="20"/>
              </w:rPr>
              <w:t xml:space="preserve">” – aktualnie funkcjonalność taka nie występuje przy kontach pełnomocników zawodowych. </w:t>
            </w:r>
          </w:p>
          <w:p w14:paraId="20D534D8" w14:textId="77777777" w:rsidR="00AA2EE4" w:rsidRPr="00D84F6C" w:rsidRDefault="00AA2EE4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  <w:highlight w:val="cyan"/>
              </w:rPr>
            </w:pPr>
          </w:p>
          <w:p w14:paraId="10667D07" w14:textId="14B27269" w:rsidR="00D24B28" w:rsidRPr="00A01FB2" w:rsidRDefault="00CD0674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A01FB2">
              <w:rPr>
                <w:rFonts w:cs="Times New Roman"/>
                <w:b/>
                <w:bCs/>
                <w:sz w:val="20"/>
                <w:szCs w:val="20"/>
              </w:rPr>
              <w:t>Ad. 2.</w:t>
            </w:r>
            <w:r w:rsidRPr="00A01FB2">
              <w:rPr>
                <w:rFonts w:cs="Times New Roman"/>
                <w:sz w:val="20"/>
                <w:szCs w:val="20"/>
              </w:rPr>
              <w:t xml:space="preserve"> </w:t>
            </w:r>
            <w:r w:rsidR="00AA2EE4" w:rsidRPr="00A01FB2">
              <w:rPr>
                <w:rFonts w:cs="Times New Roman"/>
                <w:sz w:val="20"/>
                <w:szCs w:val="20"/>
              </w:rPr>
              <w:t xml:space="preserve">W pkt 7) proj. nie precyzuje dla których kont wprowadzona zostanie możliwość ustanowienia </w:t>
            </w:r>
            <w:r w:rsidR="00AA2EE4" w:rsidRPr="00A01FB2">
              <w:rPr>
                <w:rFonts w:cs="Times New Roman"/>
                <w:i/>
                <w:iCs/>
                <w:sz w:val="20"/>
                <w:szCs w:val="20"/>
              </w:rPr>
              <w:t>„uprawnionego użytkownika”,</w:t>
            </w:r>
            <w:r w:rsidR="00AA2EE4" w:rsidRPr="00A01FB2">
              <w:rPr>
                <w:rFonts w:cs="Times New Roman"/>
                <w:sz w:val="20"/>
                <w:szCs w:val="20"/>
              </w:rPr>
              <w:t xml:space="preserve"> ani też zakresu uprawnień takiego użytkownika. Określenie, iż jest on uprawniony do „czynności innych niż zarządzenie kontem” jest nieprecyzyjne, a dotychczasowe rozwiązania technologiczne PI nie przewidują ustanowienia uprawnionego użytkownika, który miałby pełny, automatyczny dostęp do wszystkich spraw uwidocznionych na koncie peł. zawodowego.</w:t>
            </w:r>
          </w:p>
          <w:p w14:paraId="2752E5E8" w14:textId="77777777" w:rsidR="00AA2EE4" w:rsidRPr="00A01FB2" w:rsidRDefault="00AA2EE4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A01FB2">
              <w:rPr>
                <w:rFonts w:cs="Times New Roman"/>
                <w:sz w:val="20"/>
                <w:szCs w:val="20"/>
              </w:rPr>
              <w:lastRenderedPageBreak/>
              <w:t xml:space="preserve">Zasadnym byłoby doprecyzowanie czynności, do których upoważniony jest „uprawniony użytkownik” oraz wyjaśnienie w uzasadnieniu projektu jak rola „uprawnionego użytkownika” odnosi się do obecnie prowadzonych kont zależnych (subkont). </w:t>
            </w:r>
          </w:p>
          <w:p w14:paraId="12A944A7" w14:textId="77777777" w:rsidR="00D24B28" w:rsidRPr="00D84F6C" w:rsidRDefault="00D24B28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  <w:highlight w:val="cyan"/>
              </w:rPr>
            </w:pPr>
          </w:p>
          <w:p w14:paraId="6FC3F619" w14:textId="77777777" w:rsidR="00AA2EE4" w:rsidRPr="00A01FB2" w:rsidRDefault="00AA2EE4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A01FB2">
              <w:rPr>
                <w:rFonts w:cs="Times New Roman"/>
                <w:i/>
                <w:iCs/>
                <w:sz w:val="20"/>
                <w:szCs w:val="20"/>
              </w:rPr>
              <w:t xml:space="preserve">Alternatywnie </w:t>
            </w:r>
            <w:r w:rsidRPr="00A01FB2">
              <w:rPr>
                <w:rFonts w:cs="Times New Roman"/>
                <w:sz w:val="20"/>
                <w:szCs w:val="20"/>
              </w:rPr>
              <w:t xml:space="preserve">postuluje się o wprowadzenie regulacji analogicznych do występujących w regulaminie poprzez wprowadzenie definicji: </w:t>
            </w:r>
          </w:p>
          <w:p w14:paraId="4BC521DB" w14:textId="3797849D" w:rsidR="00AA2EE4" w:rsidRPr="00A01FB2" w:rsidRDefault="00AA2EE4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A01FB2">
              <w:rPr>
                <w:rFonts w:cs="Times New Roman"/>
                <w:sz w:val="20"/>
                <w:szCs w:val="20"/>
              </w:rPr>
              <w:t xml:space="preserve">· </w:t>
            </w:r>
            <w:r w:rsidRPr="00A01FB2">
              <w:rPr>
                <w:rFonts w:cs="Times New Roman"/>
                <w:b/>
                <w:bCs/>
                <w:sz w:val="20"/>
                <w:szCs w:val="20"/>
              </w:rPr>
              <w:t>„konta zależnego”</w:t>
            </w:r>
            <w:r w:rsidRPr="00A01FB2">
              <w:rPr>
                <w:rFonts w:cs="Times New Roman"/>
                <w:sz w:val="20"/>
                <w:szCs w:val="20"/>
              </w:rPr>
              <w:t xml:space="preserve"> (subkonta) rozumianego jako konto powiązane z kontem peł</w:t>
            </w:r>
            <w:r w:rsidR="00D24B28" w:rsidRPr="00A01FB2">
              <w:rPr>
                <w:rFonts w:cs="Times New Roman"/>
                <w:sz w:val="20"/>
                <w:szCs w:val="20"/>
              </w:rPr>
              <w:t xml:space="preserve">. </w:t>
            </w:r>
            <w:r w:rsidRPr="00A01FB2">
              <w:rPr>
                <w:rFonts w:cs="Times New Roman"/>
                <w:sz w:val="20"/>
                <w:szCs w:val="20"/>
              </w:rPr>
              <w:t>zawodowego lub kontem komornika, posiadające dostęp ograniczony uprawnieniami konta głównego. Konto zależne tworzone jest przez peł</w:t>
            </w:r>
            <w:r w:rsidR="00D24B28" w:rsidRPr="00A01FB2">
              <w:rPr>
                <w:rFonts w:cs="Times New Roman"/>
                <w:sz w:val="20"/>
                <w:szCs w:val="20"/>
              </w:rPr>
              <w:t xml:space="preserve">. </w:t>
            </w:r>
            <w:r w:rsidRPr="00A01FB2">
              <w:rPr>
                <w:rFonts w:cs="Times New Roman"/>
                <w:sz w:val="20"/>
                <w:szCs w:val="20"/>
              </w:rPr>
              <w:t xml:space="preserve">zawodowego lub komornika (posiadających konto główne) dla osób, które upoważnia on do dostępu do poszczególnych spraw; </w:t>
            </w:r>
          </w:p>
          <w:p w14:paraId="64B0A34D" w14:textId="77777777" w:rsidR="00AA2EE4" w:rsidRPr="00A01FB2" w:rsidRDefault="00AA2EE4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A01FB2">
              <w:rPr>
                <w:rFonts w:cs="Times New Roman"/>
                <w:sz w:val="20"/>
                <w:szCs w:val="20"/>
              </w:rPr>
              <w:t xml:space="preserve">· </w:t>
            </w:r>
            <w:r w:rsidRPr="00A01FB2">
              <w:rPr>
                <w:rFonts w:cs="Times New Roman"/>
                <w:b/>
                <w:bCs/>
                <w:sz w:val="20"/>
                <w:szCs w:val="20"/>
              </w:rPr>
              <w:t>„uprawnionego użytkownika”</w:t>
            </w:r>
            <w:r w:rsidRPr="00A01FB2">
              <w:rPr>
                <w:rFonts w:cs="Times New Roman"/>
                <w:sz w:val="20"/>
                <w:szCs w:val="20"/>
              </w:rPr>
              <w:t xml:space="preserve"> rozumianego jako użytkownika konta zależnego uprawnionego do czynności innych niż zarządzanie kontem, w sprawach, w których został mu przyznany dostęp. </w:t>
            </w:r>
          </w:p>
          <w:p w14:paraId="6775AB85" w14:textId="77777777" w:rsidR="00AA2EE4" w:rsidRPr="00A01FB2" w:rsidRDefault="00AA2EE4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</w:p>
          <w:p w14:paraId="324AADC7" w14:textId="04FCE7CF" w:rsidR="00AA2EE4" w:rsidRPr="00A01FB2" w:rsidRDefault="00AA2EE4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A01FB2">
              <w:rPr>
                <w:rFonts w:cs="Times New Roman"/>
                <w:sz w:val="20"/>
                <w:szCs w:val="20"/>
              </w:rPr>
              <w:t xml:space="preserve">Dla peł. zawodowych możliwość tworzenia subkont pozwalających na limitowany dostęp do wybranych spraw dla imiennie wskazanych osób jest szczególnie istotna z uwagi na konieczność ochrony interesów poszczególnych mocodawców. </w:t>
            </w:r>
          </w:p>
          <w:p w14:paraId="289C0FA7" w14:textId="77777777" w:rsidR="00AA2EE4" w:rsidRPr="00D84F6C" w:rsidRDefault="00AA2EE4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4675" w:type="dxa"/>
          </w:tcPr>
          <w:p w14:paraId="24436D37" w14:textId="3EE4E299" w:rsidR="00AA2EE4" w:rsidRPr="007E1789" w:rsidRDefault="00D84F6C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7E1789">
              <w:rPr>
                <w:rFonts w:cs="Times New Roman"/>
                <w:b/>
                <w:bCs/>
                <w:sz w:val="20"/>
                <w:szCs w:val="20"/>
              </w:rPr>
              <w:lastRenderedPageBreak/>
              <w:t>Ad. 1.</w:t>
            </w:r>
            <w:r w:rsidRPr="007E1789">
              <w:rPr>
                <w:rFonts w:cs="Times New Roman"/>
                <w:sz w:val="20"/>
                <w:szCs w:val="20"/>
              </w:rPr>
              <w:t xml:space="preserve">  </w:t>
            </w:r>
            <w:r w:rsidR="007E1789" w:rsidRPr="00D43037">
              <w:rPr>
                <w:rFonts w:cs="Times New Roman"/>
                <w:b/>
                <w:bCs/>
                <w:sz w:val="20"/>
                <w:szCs w:val="20"/>
              </w:rPr>
              <w:t>Na skutek zgłoszonych uwag</w:t>
            </w:r>
            <w:r w:rsidR="007E1789" w:rsidRPr="007E1789">
              <w:rPr>
                <w:rFonts w:cs="Times New Roman"/>
                <w:sz w:val="20"/>
                <w:szCs w:val="20"/>
              </w:rPr>
              <w:t xml:space="preserve"> – </w:t>
            </w:r>
            <w:r w:rsidR="00D43037">
              <w:rPr>
                <w:rFonts w:cs="Times New Roman"/>
                <w:sz w:val="20"/>
                <w:szCs w:val="20"/>
              </w:rPr>
              <w:t xml:space="preserve">doprecyzowano w </w:t>
            </w:r>
            <w:r w:rsidR="00D43037" w:rsidRPr="00D43037">
              <w:rPr>
                <w:rFonts w:cs="Times New Roman"/>
                <w:sz w:val="20"/>
                <w:szCs w:val="20"/>
              </w:rPr>
              <w:t xml:space="preserve">§ 2 pkt </w:t>
            </w:r>
            <w:r w:rsidR="00D43037">
              <w:rPr>
                <w:rFonts w:cs="Times New Roman"/>
                <w:sz w:val="20"/>
                <w:szCs w:val="20"/>
              </w:rPr>
              <w:t>1</w:t>
            </w:r>
            <w:r w:rsidR="00D43037" w:rsidRPr="00D43037">
              <w:rPr>
                <w:rFonts w:cs="Times New Roman"/>
                <w:sz w:val="20"/>
                <w:szCs w:val="20"/>
              </w:rPr>
              <w:t>) projektu</w:t>
            </w:r>
            <w:r w:rsidR="00D43037">
              <w:rPr>
                <w:rFonts w:cs="Times New Roman"/>
                <w:sz w:val="20"/>
                <w:szCs w:val="20"/>
              </w:rPr>
              <w:t xml:space="preserve">, że chodzi o „administratora konta instytucjonalnego”. </w:t>
            </w:r>
            <w:r w:rsidR="007E1789">
              <w:rPr>
                <w:rFonts w:cs="Times New Roman"/>
                <w:sz w:val="20"/>
                <w:szCs w:val="20"/>
              </w:rPr>
              <w:t xml:space="preserve"> </w:t>
            </w:r>
            <w:r w:rsidR="007E1789" w:rsidRPr="007E178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1D13D20C" w14:textId="77777777" w:rsidR="007E1789" w:rsidRPr="00D84F6C" w:rsidRDefault="007E1789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  <w:highlight w:val="cyan"/>
              </w:rPr>
            </w:pPr>
          </w:p>
          <w:p w14:paraId="06114CD8" w14:textId="498DB994" w:rsidR="00D84F6C" w:rsidRPr="00D84F6C" w:rsidRDefault="00D84F6C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  <w:highlight w:val="cyan"/>
              </w:rPr>
            </w:pPr>
            <w:r w:rsidRPr="007E1789">
              <w:rPr>
                <w:rFonts w:cs="Times New Roman"/>
                <w:b/>
                <w:bCs/>
                <w:sz w:val="20"/>
                <w:szCs w:val="20"/>
              </w:rPr>
              <w:t>Ad. 2</w:t>
            </w:r>
            <w:r w:rsidRPr="007E1789">
              <w:rPr>
                <w:rFonts w:cs="Times New Roman"/>
                <w:sz w:val="20"/>
                <w:szCs w:val="20"/>
              </w:rPr>
              <w:t>.</w:t>
            </w:r>
            <w:r w:rsidR="007E1789" w:rsidRPr="007E1789">
              <w:rPr>
                <w:rFonts w:cs="Times New Roman"/>
                <w:sz w:val="20"/>
                <w:szCs w:val="20"/>
              </w:rPr>
              <w:t xml:space="preserve"> </w:t>
            </w:r>
            <w:r w:rsidR="007E1789" w:rsidRPr="00D43037">
              <w:rPr>
                <w:rFonts w:cs="Times New Roman"/>
                <w:b/>
                <w:bCs/>
                <w:sz w:val="20"/>
                <w:szCs w:val="20"/>
              </w:rPr>
              <w:t>Na skutek zgłoszonych uwag</w:t>
            </w:r>
            <w:r w:rsidR="007E1789" w:rsidRPr="007E1789">
              <w:rPr>
                <w:rFonts w:cs="Times New Roman"/>
                <w:sz w:val="20"/>
                <w:szCs w:val="20"/>
              </w:rPr>
              <w:t xml:space="preserve"> – zrezygnowano z definiowania pojęcia </w:t>
            </w:r>
            <w:r w:rsidR="00D43037">
              <w:rPr>
                <w:rFonts w:cs="Times New Roman"/>
                <w:sz w:val="20"/>
                <w:szCs w:val="20"/>
              </w:rPr>
              <w:t>„</w:t>
            </w:r>
            <w:r w:rsidR="007E1789">
              <w:rPr>
                <w:rFonts w:cs="Times New Roman"/>
                <w:sz w:val="20"/>
                <w:szCs w:val="20"/>
              </w:rPr>
              <w:t>uprawnionego użytkownika</w:t>
            </w:r>
            <w:r w:rsidR="00D43037">
              <w:rPr>
                <w:rFonts w:cs="Times New Roman"/>
                <w:sz w:val="20"/>
                <w:szCs w:val="20"/>
              </w:rPr>
              <w:t>”</w:t>
            </w:r>
            <w:r w:rsidR="007E1789">
              <w:rPr>
                <w:rFonts w:cs="Times New Roman"/>
                <w:sz w:val="20"/>
                <w:szCs w:val="20"/>
              </w:rPr>
              <w:t xml:space="preserve">. </w:t>
            </w:r>
            <w:r w:rsidR="007E1789" w:rsidRPr="007E1789"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2340FB" w:rsidRPr="00633E3F" w14:paraId="475AB404" w14:textId="77777777" w:rsidTr="007F33FA">
        <w:trPr>
          <w:trHeight w:val="1098"/>
        </w:trPr>
        <w:tc>
          <w:tcPr>
            <w:tcW w:w="834" w:type="dxa"/>
          </w:tcPr>
          <w:p w14:paraId="7AA81259" w14:textId="3B1B9087" w:rsidR="002340FB" w:rsidRDefault="002340FB" w:rsidP="006A4BC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566" w:type="dxa"/>
          </w:tcPr>
          <w:p w14:paraId="1CD4DA18" w14:textId="4AB1BE04" w:rsidR="002340FB" w:rsidRPr="002340FB" w:rsidRDefault="002340FB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340FB">
              <w:rPr>
                <w:rFonts w:cs="Times New Roman"/>
                <w:b/>
                <w:bCs/>
                <w:sz w:val="20"/>
                <w:szCs w:val="20"/>
              </w:rPr>
              <w:t>§ 2 ust. 1 pkt 9)   projektu</w:t>
            </w:r>
          </w:p>
        </w:tc>
        <w:tc>
          <w:tcPr>
            <w:tcW w:w="2557" w:type="dxa"/>
          </w:tcPr>
          <w:p w14:paraId="6A0D058C" w14:textId="77777777" w:rsidR="002340FB" w:rsidRPr="002340FB" w:rsidRDefault="002340FB" w:rsidP="002340FB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2340FB">
              <w:rPr>
                <w:rFonts w:cs="Times New Roman"/>
                <w:b/>
                <w:bCs/>
                <w:sz w:val="20"/>
                <w:szCs w:val="20"/>
              </w:rPr>
              <w:t>Polska Izba Rzeczników Patentowych</w:t>
            </w:r>
          </w:p>
          <w:p w14:paraId="2CBF84A4" w14:textId="77777777" w:rsidR="002340FB" w:rsidRPr="002340FB" w:rsidRDefault="002340FB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14:paraId="47F56B36" w14:textId="74AA066D" w:rsidR="002340FB" w:rsidRPr="002340FB" w:rsidRDefault="002340FB" w:rsidP="002340FB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2340FB">
              <w:rPr>
                <w:rFonts w:cs="Times New Roman"/>
                <w:sz w:val="20"/>
                <w:szCs w:val="20"/>
              </w:rPr>
              <w:t xml:space="preserve">Nr legitymacji może ulec zmianie w momencie wymiany legitymacji, natomiast nr wpisu na listę jest wartością stałą i łatwą do zweryfikowania. </w:t>
            </w:r>
            <w:r w:rsidR="00414AB8">
              <w:rPr>
                <w:rFonts w:cs="Times New Roman"/>
                <w:sz w:val="20"/>
                <w:szCs w:val="20"/>
              </w:rPr>
              <w:t xml:space="preserve">Wskazano przy tym, że </w:t>
            </w:r>
            <w:r w:rsidRPr="002340FB">
              <w:rPr>
                <w:rFonts w:cs="Times New Roman"/>
                <w:sz w:val="20"/>
                <w:szCs w:val="20"/>
              </w:rPr>
              <w:t xml:space="preserve">lista rzeczników patentowych prowadzona przez UP RP nie zawiera numerów PESEL, ani nr legitymacji służbowych, ale właśnie nr wpisu na listę. </w:t>
            </w:r>
            <w:r w:rsidRPr="002340FB">
              <w:rPr>
                <w:rFonts w:cs="Times New Roman"/>
                <w:sz w:val="20"/>
                <w:szCs w:val="20"/>
              </w:rPr>
              <w:lastRenderedPageBreak/>
              <w:t>W związku z tym obecnie rzecznicy patentowi mają problemy z założeniem i aktywacją kont. Nowe rozporządzenie powinno te problemy rozwiązać poprzez uwzględnienie przepisów ustawy o rzecznikach patentowych regulujących zasady prowadzenia listy rzeczników patentowych przez Urząd Patentowy RP.</w:t>
            </w:r>
          </w:p>
          <w:p w14:paraId="2D1EDD7F" w14:textId="77777777" w:rsidR="002340FB" w:rsidRPr="002340FB" w:rsidRDefault="002340FB" w:rsidP="002340FB">
            <w:pPr>
              <w:pStyle w:val="Bezodstpw"/>
              <w:jc w:val="both"/>
              <w:rPr>
                <w:rFonts w:cs="Times New Roman"/>
                <w:sz w:val="20"/>
                <w:szCs w:val="20"/>
                <w:u w:val="single"/>
              </w:rPr>
            </w:pPr>
            <w:r w:rsidRPr="002340FB">
              <w:rPr>
                <w:rFonts w:cs="Times New Roman"/>
                <w:sz w:val="20"/>
                <w:szCs w:val="20"/>
                <w:u w:val="single"/>
              </w:rPr>
              <w:t>Propozycja brzmienia przepisu:</w:t>
            </w:r>
          </w:p>
          <w:p w14:paraId="142413AD" w14:textId="77777777" w:rsidR="002340FB" w:rsidRPr="002340FB" w:rsidRDefault="002340FB" w:rsidP="002340FB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2340FB">
              <w:rPr>
                <w:rFonts w:cs="Times New Roman"/>
                <w:sz w:val="20"/>
                <w:szCs w:val="20"/>
              </w:rPr>
              <w:t>„9) identyfikatorze osoby fizycznej – należy przez to rozumieć:</w:t>
            </w:r>
          </w:p>
          <w:p w14:paraId="471392B6" w14:textId="77777777" w:rsidR="002340FB" w:rsidRPr="002340FB" w:rsidRDefault="002340FB" w:rsidP="002340FB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2340FB">
              <w:rPr>
                <w:rFonts w:cs="Times New Roman"/>
                <w:sz w:val="20"/>
                <w:szCs w:val="20"/>
              </w:rPr>
              <w:t xml:space="preserve">d) numer </w:t>
            </w:r>
            <w:r w:rsidRPr="002340FB">
              <w:rPr>
                <w:rFonts w:cs="Times New Roman"/>
                <w:strike/>
                <w:sz w:val="20"/>
                <w:szCs w:val="20"/>
              </w:rPr>
              <w:t>legitymacji służbowej</w:t>
            </w:r>
            <w:r w:rsidRPr="002340FB">
              <w:rPr>
                <w:rFonts w:cs="Times New Roman"/>
                <w:sz w:val="20"/>
                <w:szCs w:val="20"/>
              </w:rPr>
              <w:t xml:space="preserve"> </w:t>
            </w:r>
            <w:r w:rsidRPr="002340FB">
              <w:rPr>
                <w:rFonts w:cs="Times New Roman"/>
                <w:b/>
                <w:bCs/>
                <w:sz w:val="20"/>
                <w:szCs w:val="20"/>
                <w:u w:val="single"/>
              </w:rPr>
              <w:t>wpisu na listę</w:t>
            </w:r>
            <w:r w:rsidRPr="002340FB">
              <w:rPr>
                <w:rFonts w:cs="Times New Roman"/>
                <w:sz w:val="20"/>
                <w:szCs w:val="20"/>
              </w:rPr>
              <w:t xml:space="preserve"> adwokata, radcy prawnego lub rzecznika patentowego,”</w:t>
            </w:r>
          </w:p>
          <w:p w14:paraId="4A504AB7" w14:textId="77777777" w:rsidR="002340FB" w:rsidRPr="002340FB" w:rsidRDefault="002340FB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5" w:type="dxa"/>
          </w:tcPr>
          <w:p w14:paraId="054F1EBC" w14:textId="5F9CB4E3" w:rsidR="002340FB" w:rsidRPr="002340FB" w:rsidRDefault="00D62F5C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1065B1">
              <w:rPr>
                <w:rFonts w:cs="Times New Roman"/>
                <w:b/>
                <w:bCs/>
                <w:sz w:val="20"/>
                <w:szCs w:val="20"/>
              </w:rPr>
              <w:lastRenderedPageBreak/>
              <w:t>Uwaga uwzględniona</w:t>
            </w:r>
            <w:r>
              <w:rPr>
                <w:rFonts w:cs="Times New Roman"/>
                <w:b/>
                <w:bCs/>
                <w:sz w:val="20"/>
                <w:szCs w:val="20"/>
              </w:rPr>
              <w:t xml:space="preserve"> </w:t>
            </w:r>
            <w:r w:rsidRPr="00CB67C9">
              <w:rPr>
                <w:rFonts w:cs="Times New Roman"/>
                <w:sz w:val="20"/>
                <w:szCs w:val="20"/>
              </w:rPr>
              <w:t xml:space="preserve">– </w:t>
            </w:r>
            <w:r w:rsidRPr="00B67C75">
              <w:rPr>
                <w:rFonts w:cs="Times New Roman"/>
                <w:sz w:val="20"/>
                <w:szCs w:val="20"/>
              </w:rPr>
              <w:t xml:space="preserve">zmieniono definicję </w:t>
            </w:r>
            <w:r w:rsidR="00182B3B">
              <w:rPr>
                <w:rFonts w:cs="Times New Roman"/>
                <w:sz w:val="20"/>
                <w:szCs w:val="20"/>
              </w:rPr>
              <w:t>„</w:t>
            </w:r>
            <w:r w:rsidRPr="00B67C75">
              <w:rPr>
                <w:rFonts w:cs="Times New Roman"/>
                <w:sz w:val="20"/>
                <w:szCs w:val="20"/>
              </w:rPr>
              <w:t>identyfikatora osoby fizycznej</w:t>
            </w:r>
            <w:r w:rsidR="00182B3B">
              <w:rPr>
                <w:rFonts w:cs="Times New Roman"/>
                <w:sz w:val="20"/>
                <w:szCs w:val="20"/>
              </w:rPr>
              <w:t>”</w:t>
            </w:r>
            <w:r w:rsidRPr="00B67C75">
              <w:rPr>
                <w:rFonts w:cs="Times New Roman"/>
                <w:sz w:val="20"/>
                <w:szCs w:val="20"/>
              </w:rPr>
              <w:t xml:space="preserve"> - § 2 pkt 2</w:t>
            </w:r>
            <w:r w:rsidR="00182B3B">
              <w:rPr>
                <w:rFonts w:cs="Times New Roman"/>
                <w:sz w:val="20"/>
                <w:szCs w:val="20"/>
              </w:rPr>
              <w:t>)</w:t>
            </w:r>
            <w:r w:rsidRPr="00B67C75">
              <w:rPr>
                <w:rFonts w:cs="Times New Roman"/>
                <w:sz w:val="20"/>
                <w:szCs w:val="20"/>
              </w:rPr>
              <w:t xml:space="preserve"> projektu.</w:t>
            </w:r>
            <w:r w:rsidRPr="00B67C75">
              <w:rPr>
                <w:rFonts w:cs="Times New Roman"/>
                <w:b/>
                <w:bCs/>
                <w:sz w:val="20"/>
                <w:szCs w:val="20"/>
              </w:rPr>
              <w:t xml:space="preserve">  </w:t>
            </w:r>
          </w:p>
        </w:tc>
      </w:tr>
      <w:tr w:rsidR="00D90B0F" w:rsidRPr="00633E3F" w14:paraId="5A559A5D" w14:textId="77777777" w:rsidTr="007F33FA">
        <w:trPr>
          <w:trHeight w:val="1098"/>
        </w:trPr>
        <w:tc>
          <w:tcPr>
            <w:tcW w:w="834" w:type="dxa"/>
          </w:tcPr>
          <w:p w14:paraId="211AEC78" w14:textId="2B8458E5" w:rsidR="00D90B0F" w:rsidRDefault="002340FB" w:rsidP="006A4BC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566" w:type="dxa"/>
          </w:tcPr>
          <w:p w14:paraId="20EE73FD" w14:textId="1681F4CC" w:rsidR="00D90B0F" w:rsidRPr="00633E3F" w:rsidRDefault="00AA2EE4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33E3F">
              <w:rPr>
                <w:rFonts w:cs="Times New Roman"/>
                <w:b/>
                <w:bCs/>
                <w:sz w:val="20"/>
                <w:szCs w:val="20"/>
              </w:rPr>
              <w:t xml:space="preserve">§ 2 </w:t>
            </w:r>
            <w:r w:rsidR="00C07737">
              <w:rPr>
                <w:rFonts w:cs="Times New Roman"/>
                <w:b/>
                <w:bCs/>
                <w:sz w:val="20"/>
                <w:szCs w:val="20"/>
              </w:rPr>
              <w:t xml:space="preserve">ust. 1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pkt 12) p</w:t>
            </w:r>
            <w:r w:rsidRPr="00633E3F">
              <w:rPr>
                <w:rFonts w:cs="Times New Roman"/>
                <w:b/>
                <w:bCs/>
                <w:sz w:val="20"/>
                <w:szCs w:val="20"/>
              </w:rPr>
              <w:t>rojektu</w:t>
            </w:r>
            <w:r w:rsidRPr="009F465F">
              <w:rPr>
                <w:rFonts w:cs="Times New Roman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2557" w:type="dxa"/>
          </w:tcPr>
          <w:p w14:paraId="76E47F52" w14:textId="6CC5F414" w:rsidR="00D90B0F" w:rsidRPr="00633E3F" w:rsidRDefault="00AA2EE4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33E3F">
              <w:rPr>
                <w:rFonts w:cs="Times New Roman"/>
                <w:b/>
                <w:bCs/>
                <w:sz w:val="20"/>
                <w:szCs w:val="20"/>
              </w:rPr>
              <w:t>Konfederacja Lewiatan</w:t>
            </w:r>
          </w:p>
        </w:tc>
        <w:tc>
          <w:tcPr>
            <w:tcW w:w="4677" w:type="dxa"/>
          </w:tcPr>
          <w:p w14:paraId="6E132735" w14:textId="64908B6B" w:rsidR="00AA2EE4" w:rsidRPr="00AA2EE4" w:rsidRDefault="00AA2EE4" w:rsidP="00AA2EE4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O</w:t>
            </w:r>
            <w:r w:rsidRPr="00AA2EE4">
              <w:rPr>
                <w:rFonts w:cs="Times New Roman"/>
                <w:sz w:val="20"/>
                <w:szCs w:val="20"/>
              </w:rPr>
              <w:t>kreślenie „zamknięcia konta” zawarte w tym przepisie wydaje się mieć inne znaczenie niż zamknięcie konta w rozumieniu § 7. W szczególności, że zgodnie z uzasadnieniem proj. zamknięcie konta w rozumieniu § 7 przez osobę fizyczną może być dokonane tylko przez tę osobę, wyłącznie po uwierzytelnieniu.</w:t>
            </w:r>
          </w:p>
          <w:p w14:paraId="36F55D25" w14:textId="77777777" w:rsidR="00D90B0F" w:rsidRPr="009F465F" w:rsidRDefault="00D90B0F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  <w:highlight w:val="yellow"/>
              </w:rPr>
            </w:pPr>
          </w:p>
        </w:tc>
        <w:tc>
          <w:tcPr>
            <w:tcW w:w="4675" w:type="dxa"/>
          </w:tcPr>
          <w:p w14:paraId="11224777" w14:textId="5124BB18" w:rsidR="005876D3" w:rsidRDefault="005876D3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5876D3">
              <w:rPr>
                <w:rFonts w:cs="Times New Roman"/>
                <w:b/>
                <w:bCs/>
                <w:sz w:val="20"/>
                <w:szCs w:val="20"/>
              </w:rPr>
              <w:t>Na skutek zgłoszonej uwagi</w:t>
            </w:r>
            <w:r>
              <w:rPr>
                <w:rFonts w:cs="Times New Roman"/>
                <w:sz w:val="20"/>
                <w:szCs w:val="20"/>
              </w:rPr>
              <w:t xml:space="preserve"> – zrezygnowano z definiowania pojęcia </w:t>
            </w:r>
            <w:r w:rsidR="00BB1504">
              <w:rPr>
                <w:rFonts w:cs="Times New Roman"/>
                <w:sz w:val="20"/>
                <w:szCs w:val="20"/>
              </w:rPr>
              <w:t>–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="00BB1504">
              <w:rPr>
                <w:rFonts w:cs="Times New Roman"/>
                <w:sz w:val="20"/>
                <w:szCs w:val="20"/>
              </w:rPr>
              <w:t>„</w:t>
            </w:r>
            <w:r>
              <w:rPr>
                <w:rFonts w:cs="Times New Roman"/>
                <w:sz w:val="20"/>
                <w:szCs w:val="20"/>
              </w:rPr>
              <w:t>zamknięcia/likwidacji konta</w:t>
            </w:r>
            <w:r w:rsidR="00BB1504">
              <w:rPr>
                <w:rFonts w:cs="Times New Roman"/>
                <w:sz w:val="20"/>
                <w:szCs w:val="20"/>
              </w:rPr>
              <w:t>”</w:t>
            </w:r>
            <w:r>
              <w:rPr>
                <w:rFonts w:cs="Times New Roman"/>
                <w:sz w:val="20"/>
                <w:szCs w:val="20"/>
              </w:rPr>
              <w:t xml:space="preserve">.  </w:t>
            </w:r>
          </w:p>
          <w:p w14:paraId="7E032955" w14:textId="2A029D82" w:rsidR="00D90B0F" w:rsidRPr="00633E3F" w:rsidRDefault="00D90B0F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D21971" w:rsidRPr="00633E3F" w14:paraId="122060BD" w14:textId="77777777" w:rsidTr="007F33FA">
        <w:trPr>
          <w:trHeight w:val="1098"/>
        </w:trPr>
        <w:tc>
          <w:tcPr>
            <w:tcW w:w="834" w:type="dxa"/>
          </w:tcPr>
          <w:p w14:paraId="15B5E787" w14:textId="0F5323EF" w:rsidR="00D21971" w:rsidRPr="00633E3F" w:rsidRDefault="002340FB" w:rsidP="006A4BC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1566" w:type="dxa"/>
          </w:tcPr>
          <w:p w14:paraId="6C624689" w14:textId="61E4ACBA" w:rsidR="00633E3F" w:rsidRPr="00633E3F" w:rsidRDefault="00633E3F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33E3F">
              <w:rPr>
                <w:rFonts w:cs="Times New Roman"/>
                <w:b/>
                <w:bCs/>
                <w:sz w:val="20"/>
                <w:szCs w:val="20"/>
              </w:rPr>
              <w:t xml:space="preserve">§ 6 </w:t>
            </w:r>
            <w:r w:rsidR="009F465F">
              <w:rPr>
                <w:rFonts w:cs="Times New Roman"/>
                <w:b/>
                <w:bCs/>
                <w:sz w:val="20"/>
                <w:szCs w:val="20"/>
              </w:rPr>
              <w:t>p</w:t>
            </w:r>
            <w:r w:rsidRPr="00633E3F">
              <w:rPr>
                <w:rFonts w:cs="Times New Roman"/>
                <w:b/>
                <w:bCs/>
                <w:sz w:val="20"/>
                <w:szCs w:val="20"/>
              </w:rPr>
              <w:t>rojektu</w:t>
            </w:r>
          </w:p>
          <w:p w14:paraId="7E7FF337" w14:textId="77777777" w:rsidR="00D21971" w:rsidRPr="00633E3F" w:rsidRDefault="00D21971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14:paraId="0DA288A2" w14:textId="478475B1" w:rsidR="00D21971" w:rsidRPr="00633E3F" w:rsidRDefault="00633E3F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33E3F">
              <w:rPr>
                <w:rFonts w:cs="Times New Roman"/>
                <w:b/>
                <w:bCs/>
                <w:sz w:val="20"/>
                <w:szCs w:val="20"/>
              </w:rPr>
              <w:t>Konfederacja Lewiatan</w:t>
            </w:r>
          </w:p>
        </w:tc>
        <w:tc>
          <w:tcPr>
            <w:tcW w:w="4677" w:type="dxa"/>
          </w:tcPr>
          <w:p w14:paraId="05CFE86A" w14:textId="142ACF1F" w:rsidR="00633E3F" w:rsidRPr="009F465F" w:rsidRDefault="00633E3F" w:rsidP="00633E3F">
            <w:pPr>
              <w:pStyle w:val="Bezodstpw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633E3F">
              <w:rPr>
                <w:rFonts w:cs="Times New Roman"/>
                <w:sz w:val="20"/>
                <w:szCs w:val="20"/>
              </w:rPr>
              <w:t>Postuluj</w:t>
            </w:r>
            <w:r w:rsidR="009F465F">
              <w:rPr>
                <w:rFonts w:cs="Times New Roman"/>
                <w:sz w:val="20"/>
                <w:szCs w:val="20"/>
              </w:rPr>
              <w:t xml:space="preserve">e się </w:t>
            </w:r>
            <w:r w:rsidRPr="00633E3F">
              <w:rPr>
                <w:rFonts w:cs="Times New Roman"/>
                <w:sz w:val="20"/>
                <w:szCs w:val="20"/>
              </w:rPr>
              <w:t xml:space="preserve">uzupełnienie </w:t>
            </w:r>
            <w:r w:rsidR="009F465F">
              <w:rPr>
                <w:rFonts w:cs="Times New Roman"/>
                <w:sz w:val="20"/>
                <w:szCs w:val="20"/>
              </w:rPr>
              <w:t xml:space="preserve">proj. przepisu </w:t>
            </w:r>
            <w:r w:rsidRPr="00633E3F">
              <w:rPr>
                <w:rFonts w:cs="Times New Roman"/>
                <w:sz w:val="20"/>
                <w:szCs w:val="20"/>
              </w:rPr>
              <w:t xml:space="preserve">poprzez dodanie po słowach </w:t>
            </w:r>
            <w:r w:rsidRPr="009F465F">
              <w:rPr>
                <w:rFonts w:cs="Times New Roman"/>
                <w:i/>
                <w:iCs/>
                <w:sz w:val="20"/>
                <w:szCs w:val="20"/>
              </w:rPr>
              <w:t>„administratora konta”</w:t>
            </w:r>
            <w:r w:rsidRPr="00633E3F">
              <w:rPr>
                <w:rFonts w:cs="Times New Roman"/>
                <w:sz w:val="20"/>
                <w:szCs w:val="20"/>
              </w:rPr>
              <w:t xml:space="preserve"> słów </w:t>
            </w:r>
            <w:r w:rsidRPr="009F465F">
              <w:rPr>
                <w:rFonts w:cs="Times New Roman"/>
                <w:i/>
                <w:iCs/>
                <w:sz w:val="20"/>
                <w:szCs w:val="20"/>
              </w:rPr>
              <w:t xml:space="preserve">„lub uprawnionego użytkownika”. </w:t>
            </w:r>
          </w:p>
          <w:p w14:paraId="1413E1A8" w14:textId="58753156" w:rsidR="00633E3F" w:rsidRPr="00633E3F" w:rsidRDefault="00633E3F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633E3F">
              <w:rPr>
                <w:rFonts w:cs="Times New Roman"/>
                <w:sz w:val="20"/>
                <w:szCs w:val="20"/>
              </w:rPr>
              <w:t>Proj</w:t>
            </w:r>
            <w:r w:rsidR="009F465F">
              <w:rPr>
                <w:rFonts w:cs="Times New Roman"/>
                <w:sz w:val="20"/>
                <w:szCs w:val="20"/>
              </w:rPr>
              <w:t xml:space="preserve">. </w:t>
            </w:r>
            <w:r w:rsidRPr="00633E3F">
              <w:rPr>
                <w:rFonts w:cs="Times New Roman"/>
                <w:sz w:val="20"/>
                <w:szCs w:val="20"/>
              </w:rPr>
              <w:t xml:space="preserve">zakłada możliwość wyznaczenia więcej niż jednego administratora na koncie, lecz nie odnosi się do liczby „uprawnionych użytkowników”. </w:t>
            </w:r>
          </w:p>
          <w:p w14:paraId="238694B1" w14:textId="12C0EF84" w:rsidR="00D21971" w:rsidRPr="00633E3F" w:rsidRDefault="00633E3F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633E3F">
              <w:rPr>
                <w:rFonts w:cs="Times New Roman"/>
                <w:sz w:val="20"/>
                <w:szCs w:val="20"/>
              </w:rPr>
              <w:t>Postuluj</w:t>
            </w:r>
            <w:r w:rsidR="009F465F">
              <w:rPr>
                <w:rFonts w:cs="Times New Roman"/>
                <w:sz w:val="20"/>
                <w:szCs w:val="20"/>
              </w:rPr>
              <w:t xml:space="preserve">e się </w:t>
            </w:r>
            <w:r w:rsidRPr="00633E3F">
              <w:rPr>
                <w:rFonts w:cs="Times New Roman"/>
                <w:sz w:val="20"/>
                <w:szCs w:val="20"/>
              </w:rPr>
              <w:t>uzupełnienie regulacji poprzez wskazanie wprost, że dopuszczalne jest ustanowienie więcej niż jednego użytkownika.</w:t>
            </w:r>
          </w:p>
          <w:p w14:paraId="2F6067E0" w14:textId="59C4B7E1" w:rsidR="00633E3F" w:rsidRPr="00633E3F" w:rsidRDefault="00633E3F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5" w:type="dxa"/>
          </w:tcPr>
          <w:p w14:paraId="207DB89F" w14:textId="6BCFE9A4" w:rsidR="00D21971" w:rsidRPr="00633E3F" w:rsidRDefault="005876D3" w:rsidP="005876D3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375F9F">
              <w:rPr>
                <w:rFonts w:cs="Times New Roman"/>
                <w:b/>
                <w:bCs/>
                <w:sz w:val="20"/>
                <w:szCs w:val="20"/>
              </w:rPr>
              <w:t xml:space="preserve">Uwaga częściowo uwzględniona – </w:t>
            </w:r>
            <w:r w:rsidRPr="00375F9F">
              <w:rPr>
                <w:rFonts w:cs="Times New Roman"/>
                <w:sz w:val="20"/>
                <w:szCs w:val="20"/>
              </w:rPr>
              <w:t xml:space="preserve">doprecyzowano przepis o wskazanie, że chodzi o </w:t>
            </w:r>
            <w:r w:rsidR="00BB1504" w:rsidRPr="00375F9F">
              <w:rPr>
                <w:rFonts w:cs="Times New Roman"/>
                <w:sz w:val="20"/>
                <w:szCs w:val="20"/>
              </w:rPr>
              <w:t>„</w:t>
            </w:r>
            <w:r w:rsidRPr="00375F9F">
              <w:rPr>
                <w:rFonts w:cs="Times New Roman"/>
                <w:sz w:val="20"/>
                <w:szCs w:val="20"/>
              </w:rPr>
              <w:t>administratora konta instytucjonalnego</w:t>
            </w:r>
            <w:r w:rsidR="00BB1504" w:rsidRPr="00541CA4">
              <w:rPr>
                <w:rFonts w:cs="Times New Roman"/>
                <w:sz w:val="20"/>
                <w:szCs w:val="20"/>
              </w:rPr>
              <w:t>”</w:t>
            </w:r>
            <w:r w:rsidRPr="00541CA4">
              <w:rPr>
                <w:rFonts w:cs="Times New Roman"/>
                <w:sz w:val="20"/>
                <w:szCs w:val="20"/>
              </w:rPr>
              <w:t xml:space="preserve"> (obecny § 5 projektu).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</w:p>
        </w:tc>
      </w:tr>
      <w:tr w:rsidR="00633E3F" w:rsidRPr="00633E3F" w14:paraId="6FC780B8" w14:textId="77777777" w:rsidTr="007F33FA">
        <w:trPr>
          <w:trHeight w:val="1098"/>
        </w:trPr>
        <w:tc>
          <w:tcPr>
            <w:tcW w:w="834" w:type="dxa"/>
          </w:tcPr>
          <w:p w14:paraId="19F0D1C8" w14:textId="03963A08" w:rsidR="00633E3F" w:rsidRPr="00633E3F" w:rsidRDefault="002340FB" w:rsidP="006A4BC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566" w:type="dxa"/>
          </w:tcPr>
          <w:p w14:paraId="50BF4A9A" w14:textId="068AFB37" w:rsidR="00633E3F" w:rsidRPr="00633E3F" w:rsidRDefault="00633E3F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33E3F">
              <w:rPr>
                <w:rFonts w:cs="Times New Roman"/>
                <w:b/>
                <w:bCs/>
                <w:sz w:val="20"/>
                <w:szCs w:val="20"/>
              </w:rPr>
              <w:t xml:space="preserve">§ 8 </w:t>
            </w:r>
            <w:r w:rsidR="009F465F">
              <w:rPr>
                <w:rFonts w:cs="Times New Roman"/>
                <w:b/>
                <w:bCs/>
                <w:sz w:val="20"/>
                <w:szCs w:val="20"/>
              </w:rPr>
              <w:t>p</w:t>
            </w:r>
            <w:r w:rsidRPr="00633E3F">
              <w:rPr>
                <w:rFonts w:cs="Times New Roman"/>
                <w:b/>
                <w:bCs/>
                <w:sz w:val="20"/>
                <w:szCs w:val="20"/>
              </w:rPr>
              <w:t>rojektu</w:t>
            </w:r>
          </w:p>
          <w:p w14:paraId="46AC9444" w14:textId="77777777" w:rsidR="00633E3F" w:rsidRPr="00633E3F" w:rsidRDefault="00633E3F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57" w:type="dxa"/>
          </w:tcPr>
          <w:p w14:paraId="65C0BE6E" w14:textId="3FA3F11A" w:rsidR="00633E3F" w:rsidRPr="00633E3F" w:rsidRDefault="00633E3F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633E3F">
              <w:rPr>
                <w:rFonts w:cs="Times New Roman"/>
                <w:b/>
                <w:bCs/>
                <w:sz w:val="20"/>
                <w:szCs w:val="20"/>
              </w:rPr>
              <w:t>Konfederacja Lewiatan</w:t>
            </w:r>
          </w:p>
        </w:tc>
        <w:tc>
          <w:tcPr>
            <w:tcW w:w="4677" w:type="dxa"/>
          </w:tcPr>
          <w:p w14:paraId="0AD638A9" w14:textId="77777777" w:rsidR="00633E3F" w:rsidRDefault="00633E3F" w:rsidP="00633E3F">
            <w:pPr>
              <w:pStyle w:val="Bezodstpw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0633E3F">
              <w:rPr>
                <w:rFonts w:cs="Times New Roman"/>
                <w:sz w:val="20"/>
                <w:szCs w:val="20"/>
              </w:rPr>
              <w:t>Literalne brzmienie proj</w:t>
            </w:r>
            <w:r>
              <w:rPr>
                <w:rFonts w:cs="Times New Roman"/>
                <w:sz w:val="20"/>
                <w:szCs w:val="20"/>
              </w:rPr>
              <w:t xml:space="preserve">. </w:t>
            </w:r>
            <w:r w:rsidRPr="00633E3F">
              <w:rPr>
                <w:rFonts w:cs="Times New Roman"/>
                <w:sz w:val="20"/>
                <w:szCs w:val="20"/>
              </w:rPr>
              <w:t xml:space="preserve">przepisu nie uwzględnia faktu, iż wiele kont funkcjonujących na </w:t>
            </w:r>
            <w:r w:rsidR="009F465F">
              <w:rPr>
                <w:rFonts w:cs="Times New Roman"/>
                <w:sz w:val="20"/>
                <w:szCs w:val="20"/>
              </w:rPr>
              <w:t xml:space="preserve">PI </w:t>
            </w:r>
            <w:r w:rsidRPr="00633E3F">
              <w:rPr>
                <w:rFonts w:cs="Times New Roman"/>
                <w:sz w:val="20"/>
                <w:szCs w:val="20"/>
              </w:rPr>
              <w:t>zostało założonych przed wejściem w życie art. 15zzs</w:t>
            </w:r>
            <w:r w:rsidR="00E75E3C">
              <w:rPr>
                <w:rFonts w:cs="Times New Roman"/>
                <w:sz w:val="20"/>
                <w:szCs w:val="20"/>
                <w:vertAlign w:val="superscript"/>
              </w:rPr>
              <w:t>9</w:t>
            </w:r>
            <w:r w:rsidRPr="00633E3F"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u</w:t>
            </w:r>
            <w:r w:rsidRPr="00633E3F">
              <w:rPr>
                <w:rFonts w:cs="Times New Roman"/>
                <w:sz w:val="20"/>
                <w:szCs w:val="20"/>
              </w:rPr>
              <w:t xml:space="preserve">stawy </w:t>
            </w:r>
            <w:r>
              <w:rPr>
                <w:rFonts w:cs="Times New Roman"/>
                <w:sz w:val="20"/>
                <w:szCs w:val="20"/>
              </w:rPr>
              <w:t>anty-COVID-19</w:t>
            </w:r>
            <w:r w:rsidRPr="00633E3F">
              <w:rPr>
                <w:rFonts w:cs="Times New Roman"/>
                <w:sz w:val="20"/>
                <w:szCs w:val="20"/>
              </w:rPr>
              <w:t>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633E3F">
              <w:rPr>
                <w:rFonts w:cs="Times New Roman"/>
                <w:sz w:val="20"/>
                <w:szCs w:val="20"/>
              </w:rPr>
              <w:t>Sugeruje</w:t>
            </w:r>
            <w:r w:rsidR="009F465F">
              <w:rPr>
                <w:rFonts w:cs="Times New Roman"/>
                <w:sz w:val="20"/>
                <w:szCs w:val="20"/>
              </w:rPr>
              <w:t xml:space="preserve"> się </w:t>
            </w:r>
            <w:r w:rsidRPr="00633E3F">
              <w:rPr>
                <w:rFonts w:cs="Times New Roman"/>
                <w:sz w:val="20"/>
                <w:szCs w:val="20"/>
              </w:rPr>
              <w:t xml:space="preserve">zmianę zapisu na </w:t>
            </w:r>
            <w:r w:rsidRPr="009F465F">
              <w:rPr>
                <w:rFonts w:cs="Times New Roman"/>
                <w:i/>
                <w:iCs/>
                <w:sz w:val="20"/>
                <w:szCs w:val="20"/>
              </w:rPr>
              <w:t>„konta służące dokonywaniu doręczeń za pośrednictwem portalu informacyjnego funkcjonujące w dniu wejścia w życie rozporządzenia, uważa się za konta w rozumieniu niniejszego rozporządzenia”.</w:t>
            </w:r>
          </w:p>
          <w:p w14:paraId="2E5677F9" w14:textId="08ECB56D" w:rsidR="002340FB" w:rsidRPr="00633E3F" w:rsidRDefault="002340FB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5" w:type="dxa"/>
          </w:tcPr>
          <w:p w14:paraId="46456885" w14:textId="3665789E" w:rsidR="00633E3F" w:rsidRPr="00633E3F" w:rsidRDefault="005876D3" w:rsidP="00633E3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5876D3">
              <w:rPr>
                <w:rFonts w:cs="Times New Roman"/>
                <w:b/>
                <w:bCs/>
                <w:sz w:val="20"/>
                <w:szCs w:val="20"/>
              </w:rPr>
              <w:t xml:space="preserve">Na skutek zgłoszonej uwagi </w:t>
            </w:r>
            <w:r w:rsidRPr="005876D3">
              <w:rPr>
                <w:rFonts w:cs="Times New Roman"/>
                <w:sz w:val="20"/>
                <w:szCs w:val="20"/>
              </w:rPr>
              <w:t>- zrezygnowano z treści § 8 projektu</w:t>
            </w:r>
          </w:p>
        </w:tc>
      </w:tr>
      <w:tr w:rsidR="00D90B0F" w:rsidRPr="00633E3F" w14:paraId="32256BF6" w14:textId="77777777" w:rsidTr="007F33FA">
        <w:trPr>
          <w:trHeight w:val="1098"/>
        </w:trPr>
        <w:tc>
          <w:tcPr>
            <w:tcW w:w="834" w:type="dxa"/>
          </w:tcPr>
          <w:p w14:paraId="6ECEE8EF" w14:textId="353CECD8" w:rsidR="00D90B0F" w:rsidRPr="00375F9F" w:rsidRDefault="002340FB" w:rsidP="006A4BCD">
            <w:pPr>
              <w:pStyle w:val="Bezodstpw"/>
              <w:jc w:val="center"/>
              <w:rPr>
                <w:rFonts w:cs="Times New Roman"/>
                <w:sz w:val="20"/>
                <w:szCs w:val="20"/>
              </w:rPr>
            </w:pPr>
            <w:r w:rsidRPr="00375F9F"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1566" w:type="dxa"/>
          </w:tcPr>
          <w:p w14:paraId="12CB083F" w14:textId="60AB90CF" w:rsidR="00D90B0F" w:rsidRPr="00375F9F" w:rsidRDefault="00D90B0F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F9F">
              <w:rPr>
                <w:rFonts w:cs="Times New Roman"/>
                <w:b/>
                <w:bCs/>
                <w:sz w:val="20"/>
                <w:szCs w:val="20"/>
              </w:rPr>
              <w:t>Uwagi ogóle</w:t>
            </w:r>
          </w:p>
        </w:tc>
        <w:tc>
          <w:tcPr>
            <w:tcW w:w="2557" w:type="dxa"/>
          </w:tcPr>
          <w:p w14:paraId="12081043" w14:textId="11BCB067" w:rsidR="00D90B0F" w:rsidRPr="00375F9F" w:rsidRDefault="00D90B0F" w:rsidP="006A4BCD">
            <w:pPr>
              <w:pStyle w:val="Bezodstpw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375F9F">
              <w:rPr>
                <w:rFonts w:cs="Times New Roman"/>
                <w:b/>
                <w:bCs/>
                <w:sz w:val="20"/>
                <w:szCs w:val="20"/>
              </w:rPr>
              <w:t>Konfederacja Lewiatan</w:t>
            </w:r>
          </w:p>
        </w:tc>
        <w:tc>
          <w:tcPr>
            <w:tcW w:w="4677" w:type="dxa"/>
          </w:tcPr>
          <w:p w14:paraId="17B86418" w14:textId="77777777" w:rsidR="00D90B0F" w:rsidRPr="00375F9F" w:rsidRDefault="00D90B0F" w:rsidP="00D90B0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375F9F">
              <w:rPr>
                <w:rFonts w:cs="Times New Roman"/>
                <w:sz w:val="20"/>
                <w:szCs w:val="20"/>
              </w:rPr>
              <w:t xml:space="preserve">Od czasu powstania PI do chwili obecnej, warunki korzystania oraz funkcjonowania określają regulaminy stanowiące zał. do zarządzeń prezesów poszczególnych SA, przy czym są one jednakowo brzmiące dla każdej apelacji. </w:t>
            </w:r>
          </w:p>
          <w:p w14:paraId="17E4AFB5" w14:textId="77777777" w:rsidR="00D90B0F" w:rsidRPr="00375F9F" w:rsidRDefault="00D90B0F" w:rsidP="00D90B0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375F9F">
              <w:rPr>
                <w:rFonts w:cs="Times New Roman"/>
                <w:sz w:val="20"/>
                <w:szCs w:val="20"/>
              </w:rPr>
              <w:t xml:space="preserve">Regulamin w sposób szczegółowy definiuje poszczególne rodzaje kont i ich użytkowników (konta: komornika, mediatora, peł. zawodowego, podmiotu publicznego, użytkownika zwykłego oraz konta zależne) oraz określa tryb ich zakładania i likwidacji. Poszczególne rodzaje kont różnią się uprawnieniami. </w:t>
            </w:r>
          </w:p>
          <w:p w14:paraId="3B357511" w14:textId="77777777" w:rsidR="00D90B0F" w:rsidRPr="00375F9F" w:rsidRDefault="00D90B0F" w:rsidP="00D90B0F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375F9F">
              <w:rPr>
                <w:rFonts w:cs="Times New Roman"/>
                <w:sz w:val="20"/>
                <w:szCs w:val="20"/>
              </w:rPr>
              <w:t xml:space="preserve">Proj. rozporządzenie jest niespójne terminologicznie z aktualnie obow. regulaminem oraz nie odpowiada rzeczywistemu funkcjonowaniu PI, co utrudnia ocenę jakie zmiany prawne i faktyczne w użytkowaniu PI zostaną wprowadzone oraz jakie ewentualnie będą ich skutki dla dotychczasowych użytkowników PI. </w:t>
            </w:r>
          </w:p>
          <w:p w14:paraId="26BE9262" w14:textId="77777777" w:rsidR="00D90B0F" w:rsidRDefault="00D90B0F" w:rsidP="002340FB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  <w:r w:rsidRPr="00375F9F">
              <w:rPr>
                <w:rFonts w:cs="Times New Roman"/>
                <w:sz w:val="20"/>
                <w:szCs w:val="20"/>
              </w:rPr>
              <w:t>Uzasadnienie proj. również nie odnosi się do dotychczasowych regulacji określających warunki korzystania i funkcjonowania PI, a tym samym nie wyjaśnia w sposób jasny i zrozumiały proj. zmian.</w:t>
            </w:r>
          </w:p>
          <w:p w14:paraId="5A6496BB" w14:textId="1FD38668" w:rsidR="00721DF2" w:rsidRPr="00375F9F" w:rsidRDefault="00721DF2" w:rsidP="002340FB">
            <w:pPr>
              <w:pStyle w:val="Bezodstpw"/>
              <w:jc w:val="both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675" w:type="dxa"/>
          </w:tcPr>
          <w:p w14:paraId="5FF76D35" w14:textId="47CC139C" w:rsidR="00D90B0F" w:rsidRPr="00375F9F" w:rsidRDefault="00375F9F" w:rsidP="00633E3F">
            <w:pPr>
              <w:pStyle w:val="Bezodstpw"/>
              <w:jc w:val="both"/>
              <w:rPr>
                <w:rFonts w:cs="Times New Roman"/>
                <w:color w:val="FF0000"/>
                <w:sz w:val="20"/>
                <w:szCs w:val="20"/>
              </w:rPr>
            </w:pPr>
            <w:r w:rsidRPr="00375F9F">
              <w:rPr>
                <w:rFonts w:cs="Times New Roman"/>
                <w:b/>
                <w:bCs/>
                <w:sz w:val="20"/>
                <w:szCs w:val="20"/>
              </w:rPr>
              <w:t>Uwaga uwzględniona</w:t>
            </w:r>
            <w:r w:rsidRPr="00375F9F">
              <w:rPr>
                <w:rFonts w:cs="Times New Roman"/>
                <w:sz w:val="20"/>
                <w:szCs w:val="20"/>
              </w:rPr>
              <w:t xml:space="preserve"> – </w:t>
            </w:r>
            <w:r>
              <w:rPr>
                <w:rFonts w:cs="Times New Roman"/>
                <w:sz w:val="20"/>
                <w:szCs w:val="20"/>
              </w:rPr>
              <w:t xml:space="preserve">określone </w:t>
            </w:r>
            <w:r w:rsidRPr="00375F9F">
              <w:rPr>
                <w:rFonts w:cs="Times New Roman"/>
                <w:sz w:val="20"/>
                <w:szCs w:val="20"/>
              </w:rPr>
              <w:t>przepisy regulamin</w:t>
            </w:r>
            <w:r>
              <w:rPr>
                <w:rFonts w:cs="Times New Roman"/>
                <w:sz w:val="20"/>
                <w:szCs w:val="20"/>
              </w:rPr>
              <w:t xml:space="preserve">ów </w:t>
            </w:r>
            <w:r w:rsidRPr="00375F9F">
              <w:rPr>
                <w:rFonts w:cs="Times New Roman"/>
                <w:sz w:val="20"/>
                <w:szCs w:val="20"/>
              </w:rPr>
              <w:t xml:space="preserve">zostały przeniesione do treści proj. rozporządzenia. </w:t>
            </w:r>
          </w:p>
        </w:tc>
      </w:tr>
    </w:tbl>
    <w:p w14:paraId="4207EFE1" w14:textId="7B264814" w:rsidR="003D611E" w:rsidRDefault="003D611E" w:rsidP="002340FB">
      <w:pPr>
        <w:pStyle w:val="Bezodstpw"/>
        <w:jc w:val="both"/>
        <w:rPr>
          <w:rFonts w:cs="Times New Roman"/>
          <w:sz w:val="20"/>
          <w:szCs w:val="20"/>
        </w:rPr>
      </w:pPr>
    </w:p>
    <w:sectPr w:rsidR="003D611E" w:rsidSect="00A00CD1">
      <w:footerReference w:type="default" r:id="rId8"/>
      <w:pgSz w:w="16838" w:h="11906" w:orient="landscape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F61C4" w14:textId="77777777" w:rsidR="00A00CD1" w:rsidRDefault="00A00CD1" w:rsidP="008D530C">
      <w:pPr>
        <w:spacing w:after="0" w:line="240" w:lineRule="auto"/>
      </w:pPr>
      <w:r>
        <w:separator/>
      </w:r>
    </w:p>
  </w:endnote>
  <w:endnote w:type="continuationSeparator" w:id="0">
    <w:p w14:paraId="44AEADAB" w14:textId="77777777" w:rsidR="00A00CD1" w:rsidRDefault="00A00CD1" w:rsidP="008D5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1596351"/>
      <w:docPartObj>
        <w:docPartGallery w:val="Page Numbers (Bottom of Page)"/>
        <w:docPartUnique/>
      </w:docPartObj>
    </w:sdtPr>
    <w:sdtContent>
      <w:p w14:paraId="33C498EB" w14:textId="72139999" w:rsidR="008D530C" w:rsidRDefault="008D530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16D3F8" w14:textId="77777777" w:rsidR="008D530C" w:rsidRDefault="008D53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8C6BED" w14:textId="77777777" w:rsidR="00A00CD1" w:rsidRDefault="00A00CD1" w:rsidP="008D530C">
      <w:pPr>
        <w:spacing w:after="0" w:line="240" w:lineRule="auto"/>
      </w:pPr>
      <w:r>
        <w:separator/>
      </w:r>
    </w:p>
  </w:footnote>
  <w:footnote w:type="continuationSeparator" w:id="0">
    <w:p w14:paraId="771D315D" w14:textId="77777777" w:rsidR="00A00CD1" w:rsidRDefault="00A00CD1" w:rsidP="008D53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B9C7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47020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03F"/>
    <w:rsid w:val="00030EE1"/>
    <w:rsid w:val="00030FED"/>
    <w:rsid w:val="0004003F"/>
    <w:rsid w:val="000435FB"/>
    <w:rsid w:val="00091AC9"/>
    <w:rsid w:val="000E5E20"/>
    <w:rsid w:val="000F7C31"/>
    <w:rsid w:val="00110FBE"/>
    <w:rsid w:val="001174FF"/>
    <w:rsid w:val="00142A32"/>
    <w:rsid w:val="001561D9"/>
    <w:rsid w:val="00162230"/>
    <w:rsid w:val="00182B3B"/>
    <w:rsid w:val="00184BD3"/>
    <w:rsid w:val="001C79B2"/>
    <w:rsid w:val="001D2343"/>
    <w:rsid w:val="001D7CA8"/>
    <w:rsid w:val="001E5209"/>
    <w:rsid w:val="001E7E9B"/>
    <w:rsid w:val="00214A8C"/>
    <w:rsid w:val="002340FB"/>
    <w:rsid w:val="00243FC4"/>
    <w:rsid w:val="00254EA8"/>
    <w:rsid w:val="00283F22"/>
    <w:rsid w:val="002A0C4D"/>
    <w:rsid w:val="002A1A97"/>
    <w:rsid w:val="002B284E"/>
    <w:rsid w:val="002B34AE"/>
    <w:rsid w:val="002C5C24"/>
    <w:rsid w:val="002E0BC6"/>
    <w:rsid w:val="002E5D52"/>
    <w:rsid w:val="002F7E4B"/>
    <w:rsid w:val="00303C4F"/>
    <w:rsid w:val="00303FB1"/>
    <w:rsid w:val="00312AB5"/>
    <w:rsid w:val="00315A09"/>
    <w:rsid w:val="00322C71"/>
    <w:rsid w:val="00363D7D"/>
    <w:rsid w:val="00375F9F"/>
    <w:rsid w:val="00383674"/>
    <w:rsid w:val="003D1ECC"/>
    <w:rsid w:val="003D3FFB"/>
    <w:rsid w:val="003D611E"/>
    <w:rsid w:val="003D6133"/>
    <w:rsid w:val="003D72FE"/>
    <w:rsid w:val="003E2AD5"/>
    <w:rsid w:val="003E58B6"/>
    <w:rsid w:val="00405A5D"/>
    <w:rsid w:val="00414AB8"/>
    <w:rsid w:val="00415CD9"/>
    <w:rsid w:val="00416510"/>
    <w:rsid w:val="004230D8"/>
    <w:rsid w:val="00445E45"/>
    <w:rsid w:val="00460B16"/>
    <w:rsid w:val="00463BE3"/>
    <w:rsid w:val="00465149"/>
    <w:rsid w:val="00477B6E"/>
    <w:rsid w:val="00482379"/>
    <w:rsid w:val="004C3A22"/>
    <w:rsid w:val="004E296E"/>
    <w:rsid w:val="0050635C"/>
    <w:rsid w:val="00520EBD"/>
    <w:rsid w:val="00534571"/>
    <w:rsid w:val="00541CA4"/>
    <w:rsid w:val="005428D9"/>
    <w:rsid w:val="00542990"/>
    <w:rsid w:val="00543EF6"/>
    <w:rsid w:val="00555D8E"/>
    <w:rsid w:val="0055737F"/>
    <w:rsid w:val="00560BD1"/>
    <w:rsid w:val="00561243"/>
    <w:rsid w:val="00583572"/>
    <w:rsid w:val="005876D3"/>
    <w:rsid w:val="005B285B"/>
    <w:rsid w:val="005C2B12"/>
    <w:rsid w:val="005C6E1E"/>
    <w:rsid w:val="005D7320"/>
    <w:rsid w:val="005F7B97"/>
    <w:rsid w:val="006045E4"/>
    <w:rsid w:val="00605483"/>
    <w:rsid w:val="0061513B"/>
    <w:rsid w:val="00633E3F"/>
    <w:rsid w:val="006450D3"/>
    <w:rsid w:val="00667ABC"/>
    <w:rsid w:val="006848AC"/>
    <w:rsid w:val="006A4BCD"/>
    <w:rsid w:val="006B5B13"/>
    <w:rsid w:val="006E2F61"/>
    <w:rsid w:val="006F253F"/>
    <w:rsid w:val="006F3DBE"/>
    <w:rsid w:val="006F5FC8"/>
    <w:rsid w:val="00700D15"/>
    <w:rsid w:val="007116C2"/>
    <w:rsid w:val="00721DF2"/>
    <w:rsid w:val="00736E9A"/>
    <w:rsid w:val="00741D8D"/>
    <w:rsid w:val="00755C7F"/>
    <w:rsid w:val="007A0F2A"/>
    <w:rsid w:val="007B7DEC"/>
    <w:rsid w:val="007D7353"/>
    <w:rsid w:val="007E1789"/>
    <w:rsid w:val="007F33FA"/>
    <w:rsid w:val="007F66D7"/>
    <w:rsid w:val="00803BE0"/>
    <w:rsid w:val="00826F51"/>
    <w:rsid w:val="00844D68"/>
    <w:rsid w:val="00847E56"/>
    <w:rsid w:val="00861C0E"/>
    <w:rsid w:val="00870489"/>
    <w:rsid w:val="008707D8"/>
    <w:rsid w:val="00874170"/>
    <w:rsid w:val="00875303"/>
    <w:rsid w:val="0088466F"/>
    <w:rsid w:val="008A16DE"/>
    <w:rsid w:val="008A6070"/>
    <w:rsid w:val="008C52F6"/>
    <w:rsid w:val="008C5479"/>
    <w:rsid w:val="008D26D5"/>
    <w:rsid w:val="008D4C70"/>
    <w:rsid w:val="008D530C"/>
    <w:rsid w:val="008F2D38"/>
    <w:rsid w:val="009146B7"/>
    <w:rsid w:val="00931844"/>
    <w:rsid w:val="00965F9C"/>
    <w:rsid w:val="00983573"/>
    <w:rsid w:val="00986C32"/>
    <w:rsid w:val="00995428"/>
    <w:rsid w:val="009B601C"/>
    <w:rsid w:val="009B6766"/>
    <w:rsid w:val="009D4CE2"/>
    <w:rsid w:val="009F465F"/>
    <w:rsid w:val="00A00CD1"/>
    <w:rsid w:val="00A01459"/>
    <w:rsid w:val="00A01FB2"/>
    <w:rsid w:val="00A10E90"/>
    <w:rsid w:val="00A3692D"/>
    <w:rsid w:val="00A568BD"/>
    <w:rsid w:val="00A80327"/>
    <w:rsid w:val="00AA2EE4"/>
    <w:rsid w:val="00AB7CFD"/>
    <w:rsid w:val="00AF19DC"/>
    <w:rsid w:val="00AF26D3"/>
    <w:rsid w:val="00AF3F55"/>
    <w:rsid w:val="00B02E5E"/>
    <w:rsid w:val="00B15A83"/>
    <w:rsid w:val="00B42143"/>
    <w:rsid w:val="00B609F3"/>
    <w:rsid w:val="00B62148"/>
    <w:rsid w:val="00B848BD"/>
    <w:rsid w:val="00B93E16"/>
    <w:rsid w:val="00B94C86"/>
    <w:rsid w:val="00B96516"/>
    <w:rsid w:val="00BB1504"/>
    <w:rsid w:val="00BB2EF3"/>
    <w:rsid w:val="00BB355C"/>
    <w:rsid w:val="00BD6EFF"/>
    <w:rsid w:val="00C07737"/>
    <w:rsid w:val="00C12F2A"/>
    <w:rsid w:val="00C308B0"/>
    <w:rsid w:val="00C45BAF"/>
    <w:rsid w:val="00C8146D"/>
    <w:rsid w:val="00C8298F"/>
    <w:rsid w:val="00C9552F"/>
    <w:rsid w:val="00CA47F5"/>
    <w:rsid w:val="00CD0674"/>
    <w:rsid w:val="00CE6F19"/>
    <w:rsid w:val="00CF7263"/>
    <w:rsid w:val="00D14F03"/>
    <w:rsid w:val="00D21971"/>
    <w:rsid w:val="00D24B28"/>
    <w:rsid w:val="00D404FA"/>
    <w:rsid w:val="00D43037"/>
    <w:rsid w:val="00D45E4B"/>
    <w:rsid w:val="00D62F5C"/>
    <w:rsid w:val="00D713DF"/>
    <w:rsid w:val="00D74CEC"/>
    <w:rsid w:val="00D77FAE"/>
    <w:rsid w:val="00D84F6C"/>
    <w:rsid w:val="00D90B0F"/>
    <w:rsid w:val="00D934C5"/>
    <w:rsid w:val="00D95734"/>
    <w:rsid w:val="00DC0F12"/>
    <w:rsid w:val="00DC4864"/>
    <w:rsid w:val="00E10717"/>
    <w:rsid w:val="00E207B7"/>
    <w:rsid w:val="00E21D01"/>
    <w:rsid w:val="00E22C23"/>
    <w:rsid w:val="00E43560"/>
    <w:rsid w:val="00E53684"/>
    <w:rsid w:val="00E75E3C"/>
    <w:rsid w:val="00E800A5"/>
    <w:rsid w:val="00E84C07"/>
    <w:rsid w:val="00E85CF3"/>
    <w:rsid w:val="00ED4653"/>
    <w:rsid w:val="00EF7791"/>
    <w:rsid w:val="00F05420"/>
    <w:rsid w:val="00F06057"/>
    <w:rsid w:val="00F17A40"/>
    <w:rsid w:val="00F317A5"/>
    <w:rsid w:val="00F37A15"/>
    <w:rsid w:val="00F46BCC"/>
    <w:rsid w:val="00F53925"/>
    <w:rsid w:val="00F56E87"/>
    <w:rsid w:val="00F71C98"/>
    <w:rsid w:val="00F74618"/>
    <w:rsid w:val="00F85803"/>
    <w:rsid w:val="00FC0031"/>
    <w:rsid w:val="00FC5AE6"/>
    <w:rsid w:val="00FD2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CEC8"/>
  <w15:docId w15:val="{8288117C-B48E-4FA6-B689-88D933D2A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03F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400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03F"/>
    <w:pPr>
      <w:ind w:left="720"/>
      <w:contextualSpacing/>
    </w:pPr>
  </w:style>
  <w:style w:type="character" w:customStyle="1" w:styleId="FontStyle42">
    <w:name w:val="Font Style42"/>
    <w:basedOn w:val="Domylnaczcionkaakapitu"/>
    <w:uiPriority w:val="99"/>
    <w:rsid w:val="0004003F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Normalny"/>
    <w:uiPriority w:val="99"/>
    <w:rsid w:val="0004003F"/>
    <w:pPr>
      <w:widowControl w:val="0"/>
      <w:autoSpaceDE w:val="0"/>
      <w:autoSpaceDN w:val="0"/>
      <w:adjustRightInd w:val="0"/>
      <w:spacing w:after="0" w:line="415" w:lineRule="exact"/>
      <w:jc w:val="both"/>
    </w:pPr>
    <w:rPr>
      <w:rFonts w:eastAsiaTheme="minorEastAsia" w:cs="Times New Roman"/>
      <w:szCs w:val="24"/>
      <w:lang w:eastAsia="pl-PL"/>
    </w:rPr>
  </w:style>
  <w:style w:type="paragraph" w:customStyle="1" w:styleId="Style7">
    <w:name w:val="Style7"/>
    <w:basedOn w:val="Normalny"/>
    <w:uiPriority w:val="99"/>
    <w:rsid w:val="0004003F"/>
    <w:pPr>
      <w:widowControl w:val="0"/>
      <w:autoSpaceDE w:val="0"/>
      <w:autoSpaceDN w:val="0"/>
      <w:adjustRightInd w:val="0"/>
      <w:spacing w:after="0" w:line="387" w:lineRule="exact"/>
      <w:jc w:val="both"/>
    </w:pPr>
    <w:rPr>
      <w:rFonts w:ascii="Cambria" w:eastAsiaTheme="minorEastAsia" w:hAnsi="Cambria"/>
      <w:szCs w:val="24"/>
      <w:lang w:eastAsia="pl-PL"/>
    </w:rPr>
  </w:style>
  <w:style w:type="paragraph" w:customStyle="1" w:styleId="Style3">
    <w:name w:val="Style3"/>
    <w:basedOn w:val="Normalny"/>
    <w:uiPriority w:val="99"/>
    <w:rsid w:val="0004003F"/>
    <w:pPr>
      <w:widowControl w:val="0"/>
      <w:autoSpaceDE w:val="0"/>
      <w:autoSpaceDN w:val="0"/>
      <w:adjustRightInd w:val="0"/>
      <w:spacing w:after="0" w:line="386" w:lineRule="exact"/>
      <w:jc w:val="both"/>
    </w:pPr>
    <w:rPr>
      <w:rFonts w:ascii="Cambria" w:eastAsiaTheme="minorEastAsia" w:hAnsi="Cambria"/>
      <w:szCs w:val="24"/>
      <w:lang w:eastAsia="pl-PL"/>
    </w:rPr>
  </w:style>
  <w:style w:type="paragraph" w:customStyle="1" w:styleId="Style8">
    <w:name w:val="Style8"/>
    <w:basedOn w:val="Normalny"/>
    <w:uiPriority w:val="99"/>
    <w:rsid w:val="0004003F"/>
    <w:pPr>
      <w:widowControl w:val="0"/>
      <w:autoSpaceDE w:val="0"/>
      <w:autoSpaceDN w:val="0"/>
      <w:adjustRightInd w:val="0"/>
      <w:spacing w:after="0" w:line="386" w:lineRule="exact"/>
      <w:ind w:firstLine="710"/>
      <w:jc w:val="both"/>
    </w:pPr>
    <w:rPr>
      <w:rFonts w:ascii="Cambria" w:eastAsiaTheme="minorEastAsia" w:hAnsi="Cambria"/>
      <w:szCs w:val="24"/>
      <w:lang w:eastAsia="pl-PL"/>
    </w:rPr>
  </w:style>
  <w:style w:type="paragraph" w:customStyle="1" w:styleId="Style1">
    <w:name w:val="Style1"/>
    <w:basedOn w:val="Normalny"/>
    <w:uiPriority w:val="99"/>
    <w:rsid w:val="0004003F"/>
    <w:pPr>
      <w:widowControl w:val="0"/>
      <w:autoSpaceDE w:val="0"/>
      <w:autoSpaceDN w:val="0"/>
      <w:adjustRightInd w:val="0"/>
      <w:spacing w:after="0" w:line="316" w:lineRule="exact"/>
    </w:pPr>
    <w:rPr>
      <w:rFonts w:ascii="Calibri" w:eastAsiaTheme="minorEastAsia" w:hAnsi="Calibri" w:cs="Calibri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45E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45E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5E45"/>
    <w:rPr>
      <w:rFonts w:ascii="Times New Roman" w:hAnsi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5E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5E45"/>
    <w:rPr>
      <w:rFonts w:ascii="Times New Roman" w:hAnsi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70489"/>
    <w:pPr>
      <w:spacing w:after="0" w:line="240" w:lineRule="auto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51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13B"/>
    <w:rPr>
      <w:rFonts w:ascii="Segoe UI" w:hAnsi="Segoe UI" w:cs="Segoe UI"/>
      <w:sz w:val="18"/>
      <w:szCs w:val="18"/>
    </w:rPr>
  </w:style>
  <w:style w:type="paragraph" w:customStyle="1" w:styleId="pf0">
    <w:name w:val="pf0"/>
    <w:basedOn w:val="Normalny"/>
    <w:rsid w:val="003D72FE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character" w:customStyle="1" w:styleId="cf01">
    <w:name w:val="cf01"/>
    <w:basedOn w:val="Domylnaczcionkaakapitu"/>
    <w:rsid w:val="003D72FE"/>
    <w:rPr>
      <w:rFonts w:ascii="Segoe UI" w:hAnsi="Segoe UI" w:cs="Segoe UI" w:hint="default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4230D8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283F22"/>
    <w:pPr>
      <w:spacing w:after="0" w:line="240" w:lineRule="auto"/>
      <w:jc w:val="both"/>
    </w:pPr>
    <w:rPr>
      <w:rFonts w:eastAsia="Times New Roman" w:cs="Times New Roman"/>
      <w:color w:val="00000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83F22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customStyle="1" w:styleId="Default">
    <w:name w:val="Default"/>
    <w:rsid w:val="00AF3F5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ezodstpw">
    <w:name w:val="No Spacing"/>
    <w:uiPriority w:val="1"/>
    <w:qFormat/>
    <w:rsid w:val="00633E3F"/>
    <w:pPr>
      <w:spacing w:after="0" w:line="240" w:lineRule="auto"/>
    </w:pPr>
    <w:rPr>
      <w:rFonts w:ascii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8D5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D530C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8D53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D530C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08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8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1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C02BD1-FA29-40D5-84B7-F3C384E59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1002</Words>
  <Characters>6018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Pijawska Vel Pakulska Maria  (DLPC)</dc:creator>
  <cp:keywords/>
  <dc:description/>
  <cp:lastModifiedBy>Kopczyńska Katarzyna  (DLPC)</cp:lastModifiedBy>
  <cp:revision>5</cp:revision>
  <cp:lastPrinted>2023-04-04T08:12:00Z</cp:lastPrinted>
  <dcterms:created xsi:type="dcterms:W3CDTF">2024-02-21T11:55:00Z</dcterms:created>
  <dcterms:modified xsi:type="dcterms:W3CDTF">2024-02-22T08:48:00Z</dcterms:modified>
</cp:coreProperties>
</file>